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42"/>
          <w:szCs w:val="42"/>
          <w:b w:val="1"/>
          <w:bCs w:val="1"/>
          <w:color w:val="auto"/>
        </w:rPr>
        <w:t>CAPITAL CLEAN ENERGY CARRIERS CORP.</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3 Iassonos Street</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40"/>
          </w:cols>
          <w:pgMar w:left="440" w:top="376" w:right="1319" w:bottom="1440" w:gutter="0" w:footer="0" w:header="0"/>
        </w:sectPr>
      </w:pPr>
    </w:p>
    <w:bookmarkStart w:id="1" w:name="page2"/>
    <w:bookmarkEnd w:id="1"/>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August 8, 2025, Capital Clean Energy Carriers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xml:space="preserve">”) issued a press release announcing an annual meeting of shareholders, which is attached as </w:t>
      </w:r>
      <w:r>
        <w:rPr>
          <w:rFonts w:ascii="Times New Roman" w:cs="Times New Roman" w:eastAsia="Times New Roman" w:hAnsi="Times New Roman"/>
          <w:sz w:val="18"/>
          <w:szCs w:val="18"/>
          <w:u w:val="single" w:color="auto"/>
          <w:color w:val="0000EE"/>
        </w:rPr>
        <w:t>Exhibit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0000EE"/>
        </w:rPr>
        <w:t>Exhibit II</w:t>
      </w:r>
      <w:r>
        <w:rPr>
          <w:rFonts w:ascii="Times New Roman" w:cs="Times New Roman" w:eastAsia="Times New Roman" w:hAnsi="Times New Roman"/>
          <w:sz w:val="18"/>
          <w:szCs w:val="18"/>
          <w:color w:val="auto"/>
        </w:rPr>
        <w:t xml:space="preserve"> are a cover letter to the shareholders of the Corporation, formal notice of annual meeting of shareholders and proxy statement, each dated August 8,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0000EE"/>
        </w:rPr>
        <w:t>Exhibit III</w:t>
      </w:r>
      <w:r>
        <w:rPr>
          <w:rFonts w:ascii="Times New Roman" w:cs="Times New Roman" w:eastAsia="Times New Roman" w:hAnsi="Times New Roman"/>
          <w:sz w:val="18"/>
          <w:szCs w:val="18"/>
          <w:color w:val="auto"/>
        </w:rPr>
        <w:t xml:space="preserve"> is the Proxy Card for the 2025 annual meeting of shareholders of the Corporation for holders of its common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Mr. Martin Houston to the Board of Directors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8, 2025, the Corporation also announced that Mr. Abel Rasterhoff, has determined to resign from his functions effective upon the commencement of the annual meeting of shareholders of the Corporation. To fill the seat vacated by Mr. Abel Rasterhoff, Mr. Martin Houston has been nominated by the Nominating Committee of the Board of Directors and the Board of Directors for election to serve as Director from the upcoming annual meeting of shareholders until the 2026 annual meeting of shareholders or until a successor is duly elected and qualified or until his earlier death, resignation, disqualification or removal.</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Houston began his career as petroleum geologist in 1979 and since then has worked worldwide for 45 years, managing all forms of enterprise in the energy industry. He is currently the Chairman of Omega Oil and Gas Ltd and a Non-Executive Director of Energean plc, BUPA Arabia SA, CC Energy and Singapore GasCo. He is also a Senior Advisor at Moelis and Company. In October 2024, he stepped down as co-founder and Executive Chairman of Tellurian Inc, following the sale of the company. He retired from BG Group in 2014 as Chief Operating Officer and Executive Director after 32 years. Mr. Houston is a Merryck mentor and a Fellow of the Geological Society of London. He’s on the Advisory Board of the Center on Global Energy Policy at Columbia University’s School of International and Public Affairs in New York and the Chairman of the Philanthropic Board of Newcastle University. He is an invited member of the National Petroleum Council of the United States. Since 2000, Mr. Martin has been a member of boards of directors in several jurisdictions, including boards of directors for companies listed on or included in the FTSE, Nasdaq, ASE, ASX and Tadāwul. Mr. Houston earned a BSc in geology from Newcastle University and an MSc in petroleum geology from Imperial College, London.</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paragraphs under the title “Nomination of Mr. Martin Houston to the Board of Directors” in this report on Form 6-K are hereby incorporated by reference into the registrant’s Registration Statement on Form F-3 (File No. 333-282610), Registration Statement on Form F-3 (File No. 333-286825) and Registration Statement on Form F-3 (File No. 333-287895).</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CAPITAL CLEAN ENERGY CARRIERS CORP.</w:t>
      </w:r>
    </w:p>
    <w:p>
      <w:pPr>
        <w:spacing w:after="0" w:line="229"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3608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Gerasimos (Jerry) Kalogiratos</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173990</wp:posOffset>
            </wp:positionV>
            <wp:extent cx="2271395" cy="840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139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Clean Energy Carriers Corp. Announces Annual Meeting of Shareholders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ATHENS, GREECE, August 8, 2025 – The Board of Directors of Capital Clean Energy Carriers Corp. (NASDAQ: CCEC) (the “Corporation” or “CCEC”) has called an annual meeting of shareholders to be held at the Corporation’s headquarters in Greece on September 22, 2025 at 11:30 am local time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xml:space="preserve">”). Shareholders of record at the close of business on July 25, 2025 are entitled to receive notice of, and to vote at, the Annual Meeting, or any adjournments or postponements thereof. A cover letter, formal notice of the Annual Meeting, the Corporation’s proxy statement and the accompanying Annual Report on Form 20-F are being sent to shareholders of the Corporation. Electronic copies of the materials are accessible on the Corporation’s website at </w:t>
      </w:r>
      <w:r>
        <w:rPr>
          <w:rFonts w:ascii="Times New Roman" w:cs="Times New Roman" w:eastAsia="Times New Roman" w:hAnsi="Times New Roman"/>
          <w:sz w:val="18"/>
          <w:szCs w:val="18"/>
          <w:u w:val="single" w:color="auto"/>
          <w:color w:val="auto"/>
        </w:rPr>
        <w:t>http://ir.capitalcleanenergycarriers.com/</w:t>
      </w:r>
      <w:r>
        <w:rPr>
          <w:rFonts w:ascii="Times New Roman" w:cs="Times New Roman" w:eastAsia="Times New Roman" w:hAnsi="Times New Roman"/>
          <w:sz w:val="18"/>
          <w:szCs w:val="18"/>
          <w:color w:val="auto"/>
        </w:rPr>
        <w:t xml:space="preserve"> . Following receipt of a proxy card, shareholders may vote their common shares by accessing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Capital Clean Energy Carriers Corp.</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Capital Clean Energy Carriers Corp. (NASDAQ: CCEC), an international shipping company, is one of the world’s leading platforms of gas carriage solutions with a focus on energy transition. CCEC’s in-the-water fleet includes 15 high specification vessels, including 12 latest generation LNG/Cs and three legacy Neo-Panamax container vessels. In addition, CCEC’s under-construction fleet includes six additional latest generation LNG/Cs, six dual-fuel medium gas carriers and four handy LCO2/multi-gas carriers, to be delivered between the first quarter of 2026 and the third quarter of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Gallagher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+44-(770) 368 4996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b.gallagher@capitalmaritime.com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Bornozis/Markella Karra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+1-212-661-7566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ccec@capitallink.com</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173990</wp:posOffset>
            </wp:positionV>
            <wp:extent cx="143129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12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8,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THE SHAREHOLDERS OF CAPITAL CLEAN ENERGY CARRIERS CORP.</w:t>
      </w:r>
    </w:p>
    <w:p>
      <w:pPr>
        <w:spacing w:after="0" w:line="227"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color w:val="auto"/>
        </w:rPr>
        <w:t>Enclosed are (i) a Notice of the Annual Meeting of Shareholders of Capital Clean Energy Carriers Corp.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which will be held at 3 Iassonos Street, 18537 Piraeus, Greece, on September 22, 2025 at 11:30 a.m. Greek time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(ii) the Company’s Proxy Statement in connection with the Annual Meeting, and (iii) the Company’s Annual Report on Form 20-F that accompanies the Proxy Statement.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this Annual Meeting, the shareholders of the Company will consider and vote upon the following proposals:</w:t>
      </w:r>
    </w:p>
    <w:p>
      <w:pPr>
        <w:spacing w:after="0" w:line="131" w:lineRule="exact"/>
        <w:rPr>
          <w:sz w:val="20"/>
          <w:szCs w:val="20"/>
          <w:color w:val="auto"/>
        </w:rPr>
      </w:pPr>
    </w:p>
    <w:p>
      <w:pPr>
        <w:ind w:left="960" w:right="1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of the Company to serve until the 2026 Annual Meeting of Shareholders, and until their successors are elected and qualified (“</w:t>
      </w:r>
      <w:r>
        <w:rPr>
          <w:rFonts w:ascii="Times New Roman" w:cs="Times New Roman" w:eastAsia="Times New Roman" w:hAnsi="Times New Roman"/>
          <w:sz w:val="18"/>
          <w:szCs w:val="18"/>
          <w:i w:val="1"/>
          <w:iCs w:val="1"/>
          <w:color w:val="auto"/>
        </w:rPr>
        <w:t>Proposal One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Certified Public Accountants S.A. as our independent registered public accounting firm for the fiscal year ending December 31, 2025 (“</w:t>
      </w: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Adoption of Proposal One with respect to each director requires the affirmative vote of a majority of the votes cast by holders of the common shares with respect to such director. Adoption of Proposal Two requires the affirmative vote of a majority of the votes cast by holders of the common shares.</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Annual Meeting in person. If you attend the Annual Meeting, you may revoke your proxy and vote your shares in person.</w:t>
      </w:r>
    </w:p>
    <w:p>
      <w:pPr>
        <w:spacing w:after="0" w:line="158"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IT IS IMPORTANT TO VOTE. WHETHER OR NOT YOU PLAN TO ATTEND THE ANNUAL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THE PROPOSALS PRESENTED IN THE PROXY STATEMENT.</w:t>
      </w:r>
    </w:p>
    <w:p>
      <w:pPr>
        <w:spacing w:after="0" w:line="21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Gerasimos (Jerry) Kalogiratos</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i w:val="1"/>
          <w:iCs w:val="1"/>
          <w:color w:val="auto"/>
        </w:rPr>
        <w:t>Director and Chief Executive Officer</w:t>
      </w:r>
    </w:p>
    <w:p>
      <w:pPr>
        <w:sectPr>
          <w:pgSz w:w="11900" w:h="16838" w:orient="portrait"/>
          <w:cols w:equalWidth="0" w:num="1">
            <w:col w:w="11020"/>
          </w:cols>
          <w:pgMar w:left="440" w:top="117" w:right="43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182880</wp:posOffset>
            </wp:positionV>
            <wp:extent cx="143129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31290" cy="514350"/>
                    </a:xfrm>
                    <a:prstGeom prst="rect">
                      <a:avLst/>
                    </a:prstGeom>
                    <a:noFill/>
                  </pic:spPr>
                </pic:pic>
              </a:graphicData>
            </a:graphic>
          </wp:anchor>
        </w:drawing>
        <w:t>CAPITAL CLEAN ENERGY CARRIERS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August 8, 2025</w:t>
      </w:r>
    </w:p>
    <w:p>
      <w:pPr>
        <w:spacing w:after="0" w:line="227" w:lineRule="exact"/>
        <w:rPr>
          <w:sz w:val="20"/>
          <w:szCs w:val="20"/>
          <w:color w:val="auto"/>
        </w:rPr>
      </w:pPr>
    </w:p>
    <w:p>
      <w:pPr>
        <w:ind w:left="4" w:right="260" w:firstLine="440"/>
        <w:spacing w:after="0" w:line="267"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Capital Clean Energy Carriers Corp.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will be held at 3 Iassonos Str., 18537 Piraeus, Greece, on September 22, 2025 at 11:30 a.m. Greek time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for the following purposes, of which items 1 and 2 are more completely set forth in the accompanying Proxy Statement:</w:t>
      </w:r>
    </w:p>
    <w:p>
      <w:pPr>
        <w:spacing w:after="0" w:line="81" w:lineRule="exact"/>
        <w:rPr>
          <w:sz w:val="20"/>
          <w:szCs w:val="20"/>
          <w:color w:val="auto"/>
        </w:rPr>
      </w:pPr>
    </w:p>
    <w:p>
      <w:pPr>
        <w:ind w:left="424" w:right="6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of the Company to serve until the 2026 Annual Meeting of Shareholders, and until their successors are elected and qualified (“</w:t>
      </w:r>
      <w:r>
        <w:rPr>
          <w:rFonts w:ascii="Times New Roman" w:cs="Times New Roman" w:eastAsia="Times New Roman" w:hAnsi="Times New Roman"/>
          <w:sz w:val="18"/>
          <w:szCs w:val="18"/>
          <w:i w:val="1"/>
          <w:iCs w:val="1"/>
          <w:color w:val="auto"/>
        </w:rPr>
        <w:t>Proposal One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Certified Public Accountants S.A. as our independent registered public accounting firm for the fiscal year ending December 31, 2025 (“</w:t>
      </w: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w:t>
      </w:r>
    </w:p>
    <w:p>
      <w:pPr>
        <w:spacing w:after="0" w:line="225"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July 25, 2025, as the record date for the determination of the shareholders entitled to receive notice and to vote at the Annual Meeting or any adjournment or postponement thereof.</w:t>
      </w:r>
    </w:p>
    <w:p>
      <w:pPr>
        <w:spacing w:after="0" w:line="162"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Shareholders of record on the record date may attend the Annual Meeting in person. If you hold your shares in street name through a brokerage firm, bank or other nominee and you wish to attend the Annual Meeting in person, you must bring proof of beneficial ownership as of the record date in order to attend in Annual Meeting in person.</w:t>
      </w:r>
    </w:p>
    <w:p>
      <w:pPr>
        <w:spacing w:after="0" w:line="172"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IT IS IMPORTANT TO VOTE. WHETHER OR NOT YOU PLAN TO ATTEND THE ANNUAL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THE PROPOSALS PRESENTED IN THE PROXY STATEMENT.</w:t>
      </w:r>
    </w:p>
    <w:p>
      <w:pPr>
        <w:spacing w:after="0" w:line="183"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you attend the Annual Meeting, you may revoke your proxy and vote in person. If you hold your shares in street name through a brokerage firm, bank or other nominee, please follow the instructions you receive from them to vote your shares or to revoke your vote, if necessary.</w:t>
      </w:r>
    </w:p>
    <w:p>
      <w:pPr>
        <w:spacing w:after="0" w:line="18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Gerasimos (Jerry) Kalogiratos</w:t>
      </w:r>
    </w:p>
    <w:p>
      <w:pPr>
        <w:spacing w:after="0" w:line="250"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i w:val="1"/>
          <w:iCs w:val="1"/>
          <w:color w:val="auto"/>
        </w:rPr>
        <w:t>Director and Chief Executive Officer</w:t>
      </w:r>
    </w:p>
    <w:p>
      <w:pPr>
        <w:sectPr>
          <w:pgSz w:w="11900" w:h="16838" w:orient="portrait"/>
          <w:cols w:equalWidth="0" w:num="1">
            <w:col w:w="11004"/>
          </w:cols>
          <w:pgMar w:left="436" w:top="1292"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CLEAN ENERGY CARRIERS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SHAREHOLDERS TO BE HELD ON SEPTEMBER 22, 2025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TIME, DATE AND PLACE OF ANNUAL MEETING</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of Capital Clean Energy Carriers Corp., a Marshall Islands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of proxies from our shareholders (the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for use at our annual meeting of shareholders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to be held at our principal executive offices at 3 Iassonos Street, 18537 Piraeus, Greece, at 11:30 a.m. Greek time, on September 22, 2025 and at any adjournments or postponements thereof, pursuant to the enclosed Notice of Annual Meeting.</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On August 26, 2024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we completed our conversion from a Marshall Islands limited partnership named “Capital Product Partners L.P.” (the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to a Marshall Islands corporation named “Capital Clean Energy Carriers Corp.” (the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Upon the Effective Time, among other things, (i) each common unit of the Partnership (the “</w:t>
      </w:r>
      <w:r>
        <w:rPr>
          <w:rFonts w:ascii="Times New Roman" w:cs="Times New Roman" w:eastAsia="Times New Roman" w:hAnsi="Times New Roman"/>
          <w:sz w:val="18"/>
          <w:szCs w:val="18"/>
          <w:i w:val="1"/>
          <w:iCs w:val="1"/>
          <w:color w:val="auto"/>
        </w:rPr>
        <w:t>Common Units</w:t>
      </w:r>
      <w:r>
        <w:rPr>
          <w:rFonts w:ascii="Times New Roman" w:cs="Times New Roman" w:eastAsia="Times New Roman" w:hAnsi="Times New Roman"/>
          <w:sz w:val="18"/>
          <w:szCs w:val="18"/>
          <w:color w:val="auto"/>
        </w:rPr>
        <w:t>”) issued and outstanding immediately prior to the Effective Time was converted into one common share, par value $0.01 per share, of the Company (the “</w:t>
      </w:r>
      <w:r>
        <w:rPr>
          <w:rFonts w:ascii="Times New Roman" w:cs="Times New Roman" w:eastAsia="Times New Roman" w:hAnsi="Times New Roman"/>
          <w:sz w:val="18"/>
          <w:szCs w:val="18"/>
          <w:i w:val="1"/>
          <w:iCs w:val="1"/>
          <w:color w:val="auto"/>
        </w:rPr>
        <w:t>Common Shares</w:t>
      </w:r>
      <w:r>
        <w:rPr>
          <w:rFonts w:ascii="Times New Roman" w:cs="Times New Roman" w:eastAsia="Times New Roman" w:hAnsi="Times New Roman"/>
          <w:sz w:val="18"/>
          <w:szCs w:val="18"/>
          <w:color w:val="auto"/>
        </w:rPr>
        <w:t>”) and (ii) the 348,570 general partner units of the Partnership and all of the incentive distribution rights of the Partnership, in each case outstanding as of immediately prior to the Effective Date, were converted into an aggregate of 3,500,000 Common Shares. The Common Shares are listed on the Nasdaq Global Select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symbol “CCEC”.</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Conversion is deemed a continuation of the existence of the Partnership in the form of a Marshall Islands corporation, with the existence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deemed to have commenced on the date the Partnership commenced its existence. Upon the Conversion, the Second Amended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Agreement of Limited Partnership of the Partnership (as amended, the “</w:t>
      </w:r>
      <w:r>
        <w:rPr>
          <w:rFonts w:ascii="Times New Roman" w:cs="Times New Roman" w:eastAsia="Times New Roman" w:hAnsi="Times New Roman"/>
          <w:sz w:val="18"/>
          <w:szCs w:val="18"/>
          <w:i w:val="1"/>
          <w:iCs w:val="1"/>
          <w:color w:val="auto"/>
        </w:rPr>
        <w:t>Partnership Agreement</w:t>
      </w:r>
      <w:r>
        <w:rPr>
          <w:rFonts w:ascii="Times New Roman" w:cs="Times New Roman" w:eastAsia="Times New Roman" w:hAnsi="Times New Roman"/>
          <w:sz w:val="18"/>
          <w:szCs w:val="18"/>
          <w:color w:val="auto"/>
        </w:rPr>
        <w:t>”) and the Certificate of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terminated and no longer govern the affairs of the Partnership, but instead, the affairs of the Company are governed by the Marshall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Corporations Act, the Articles of Incorporation of the Company and the Bylaws of the Company. Capital GP L.L.C. (“</w:t>
      </w:r>
      <w:r>
        <w:rPr>
          <w:rFonts w:ascii="Times New Roman" w:cs="Times New Roman" w:eastAsia="Times New Roman" w:hAnsi="Times New Roman"/>
          <w:sz w:val="18"/>
          <w:szCs w:val="18"/>
          <w:i w:val="1"/>
          <w:iCs w:val="1"/>
          <w:color w:val="auto"/>
        </w:rPr>
        <w:t>CGP LLC</w:t>
      </w:r>
      <w:r>
        <w:rPr>
          <w:rFonts w:ascii="Times New Roman" w:cs="Times New Roman" w:eastAsia="Times New Roman" w:hAnsi="Times New Roman"/>
          <w:sz w:val="18"/>
          <w:szCs w:val="18"/>
          <w:color w:val="auto"/>
        </w:rPr>
        <w: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General Partner</w:t>
      </w:r>
      <w:r>
        <w:rPr>
          <w:rFonts w:ascii="Times New Roman" w:cs="Times New Roman" w:eastAsia="Times New Roman" w:hAnsi="Times New Roman"/>
          <w:sz w:val="18"/>
          <w:szCs w:val="18"/>
          <w:color w:val="auto"/>
        </w:rPr>
        <w:t>”), the former general partner of the Partnership, no longer has management or consent rights with respect to the Partnership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Partnership Agreement.</w:t>
      </w:r>
    </w:p>
    <w:p>
      <w:pPr>
        <w:spacing w:after="0" w:line="20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References in this Proxy Statement to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or like terms refer to (i) the Company and its subsidiaries, as the context requires, following the Conversion and (ii) the Partnership and its subsidiaries, as the context requires, prior to the Conversion. In addition, unless the context otherwise requires, references in this Proxy Statement to Common Shares or per share amounts prior to the Conversion are to Common Units or per unit amounts.</w:t>
      </w:r>
    </w:p>
    <w:p>
      <w:pPr>
        <w:spacing w:after="0" w:line="18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date this Proxy Statement is being sent to the Shareholders is on or around August 8, 2025. You should review the information provided herein in conjunction with our Annual Report for the year ended December 31, 2024, which accompanies this Proxy Statement. Our principal executive offices are located at 3 Iassonos Street, 18537 Piraeus, Greece, and our telephone number is +30 210 458 4950.</w:t>
      </w:r>
    </w:p>
    <w:p>
      <w:pPr>
        <w:sectPr>
          <w:pgSz w:w="11900" w:h="16838" w:orient="portrait"/>
          <w:cols w:equalWidth="0" w:num="1">
            <w:col w:w="11000"/>
          </w:cols>
          <w:pgMar w:left="440" w:top="266" w:right="4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CONCERNING PROXY</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enclosed proxy is solicited on behalf of our Board of Directors. The giving of a proxy does not preclude the right to vote in person should any Shareholder giving the proxy so desire and such Shareholder duly revokes the proxy. Shareholders have an unconditional right to revoke their proxy at any time prior to the exercise thereof, either in person at the Annual Meeting or by filing at our headquarters a written notice of revocation or a duly executed proxy bearing a later date; no such revocation will be effective, however, until written notice of the revocation or a duly executed proxy bearing a later date is received by us at or prior to the Annual Meeting. If you hold Common Shares in street name, through a brokerage firm, bank or other nominee, and have voted by proxy, please contact your brokerage firm, bank or other nominee if you wish to change your vote.</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cost of preparing, assembling and mailing this Proxy Statement and the accompanying Annual Report, the Notice of Annual Meeting and the enclosed proxy is to be borne by us. In addition to the use of mail, our directors and officers may solicit proxies personally, by telephone, electronically or by other means of communication. These directors and officers will receive no compensation for soliciting proxies (other than their regular compensation). We may request banks, brokers and other custodians, nominees and fiduciaries to forward copies of the proxy materials to their principals and to request authority for the execution of proxies. We will reimburse such persons for their expenses in doing so.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Copies of proxy materials for the Annual Meeting will also be available on the Company’s website at </w:t>
      </w:r>
      <w:r>
        <w:rPr>
          <w:rFonts w:ascii="Times New Roman" w:cs="Times New Roman" w:eastAsia="Times New Roman" w:hAnsi="Times New Roman"/>
          <w:sz w:val="18"/>
          <w:szCs w:val="18"/>
          <w:u w:val="single" w:color="auto"/>
          <w:color w:val="auto"/>
        </w:rPr>
        <w:t>www.capitalcleanenergycarriers.com</w:t>
      </w:r>
      <w:r>
        <w:rPr>
          <w:rFonts w:ascii="Times New Roman" w:cs="Times New Roman" w:eastAsia="Times New Roman" w:hAnsi="Times New Roman"/>
          <w:sz w:val="18"/>
          <w:szCs w:val="18"/>
          <w:color w:val="auto"/>
        </w:rPr>
        <w:t xml:space="preserve"> .</w:t>
      </w:r>
    </w:p>
    <w:p>
      <w:pPr>
        <w:sectPr>
          <w:pgSz w:w="11900" w:h="16838" w:orient="portrait"/>
          <w:cols w:equalWidth="0" w:num="1">
            <w:col w:w="10960"/>
          </w:cols>
          <w:pgMar w:left="440" w:top="266" w:right="499" w:bottom="1440" w:gutter="0" w:footer="0" w:header="0"/>
        </w:sectPr>
      </w:pPr>
    </w:p>
    <w:bookmarkStart w:id="8" w:name="page9"/>
    <w:bookmarkEnd w:id="8"/>
    <w:p>
      <w:pPr>
        <w:ind w:left="38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THE ANNUAL MEETING</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 Annual Meeting, our Shareholders will consider and vote upon the following matters:</w:t>
      </w:r>
    </w:p>
    <w:p>
      <w:pPr>
        <w:spacing w:after="0" w:line="129" w:lineRule="exact"/>
        <w:rPr>
          <w:sz w:val="20"/>
          <w:szCs w:val="20"/>
          <w:color w:val="auto"/>
        </w:rPr>
      </w:pPr>
    </w:p>
    <w:p>
      <w:pPr>
        <w:ind w:left="424" w:right="320" w:hanging="424"/>
        <w:spacing w:after="0" w:line="28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to serve until the 2026 Annual Meeting of Shareholders, and until their successors are elected and qualified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Certified Public Accountants S.A. as our independent registered public accounting firm for the fiscal year ending December 31, 2025 (“</w:t>
      </w:r>
      <w:r>
        <w:rPr>
          <w:rFonts w:ascii="Times New Roman" w:cs="Times New Roman" w:eastAsia="Times New Roman" w:hAnsi="Times New Roman"/>
          <w:sz w:val="18"/>
          <w:szCs w:val="18"/>
          <w:i w:val="1"/>
          <w:iCs w:val="1"/>
          <w:color w:val="auto"/>
        </w:rPr>
        <w:t>Proposal Two</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thereof.</w:t>
      </w:r>
    </w:p>
    <w:p>
      <w:pPr>
        <w:spacing w:after="0" w:line="225"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Unless contrary instructions are indicated on your proxy, all Common Shares represented by valid proxies received pursuant to this solicitation (and which have not been revoked in accordance with the procedures set forth herein) will be voted (a) for the election of the nominee directors named below, and (b) to ratify the appointment of Deloitte Certified Public Accountants S.A. as our independent registered public accounting firm for the fiscal year ending December 31, 2025. The Board of Directors knows of no other business that may properly come before the Annual Meeting; however, if other matters properly come before the Annual Meeting, it is intended that the persons named in the proxy will vote thereon in accordance with their best judgment. In the event a Shareholder specifies a different choice by means of the Shareholder’s proxy, the Shareholder’s Common Shares will be voted in accordance with the specification so made.</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OUTSTANDING VOTING SECURITIES AND VOTING RIGHTS</w:t>
      </w:r>
    </w:p>
    <w:p>
      <w:pPr>
        <w:spacing w:after="0" w:line="22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previously set the close of business on July 25, 2025 as the record date for determining which of our Shareholders are entitled to notice of, and to vote at, the Annual Meeting. As of the record date, there were 58,725,267 outstanding Common Shares (excluding 1,221,061 Common Shares held in treasury) that are entitled to be voted at the Annual Meeting. Each Common Share is entitled to one vote on each matter submitted to Shareholders for approval at the Annual Meeting.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Annual Meeting will be subject to the following quorum and voting requirements:</w:t>
      </w:r>
    </w:p>
    <w:p>
      <w:pPr>
        <w:spacing w:after="0" w:line="131" w:lineRule="exact"/>
        <w:rPr>
          <w:sz w:val="20"/>
          <w:szCs w:val="20"/>
          <w:color w:val="auto"/>
        </w:rPr>
      </w:pPr>
    </w:p>
    <w:p>
      <w:pPr>
        <w:ind w:left="964" w:right="16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attendance, in person or by proxy, of one or more Shareholders holding at least one-third of the total voting power of the outstanding Common Shares entitled to vote at the Annual Meeting shall constitute a quorum.</w:t>
      </w:r>
    </w:p>
    <w:p>
      <w:pPr>
        <w:spacing w:after="0" w:line="67"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votes cast by holders of the Common Shares represented in person or by proxy at the Annual Meeting at which there is quorum will be required for the election of each director nominee.</w:t>
      </w:r>
    </w:p>
    <w:p>
      <w:pPr>
        <w:spacing w:after="0" w:line="67"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votes cast by holders of the Common Shares represented in person or by proxy at the Annual Meeting at which there is quorum will be required to approve the ratification of the appointment of our auditors.</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In the absence of a quorum, the holders of a majority of the voting power of the outstanding Common Shares present at the Annual Meeting in person or by proxy may adjourn the meeting.</w:t>
      </w:r>
    </w:p>
    <w:p>
      <w:pPr>
        <w:spacing w:after="0" w:line="162"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Prior to the Annual Meeting, we will select one or more inspectors of election for the meeting. Such inspector(s) shall determine the number of Common Shares outstanding and the voting power of each, the number of Common Shares represented at the Annual Meeting, the existence of a quorum and the validity and effect of proxies, and shall receive, count and tabulate ballots and votes and determine the results thereof.</w:t>
      </w:r>
    </w:p>
    <w:p>
      <w:pPr>
        <w:sectPr>
          <w:pgSz w:w="11900" w:h="16838" w:orient="portrait"/>
          <w:cols w:equalWidth="0" w:num="1">
            <w:col w:w="11004"/>
          </w:cols>
          <w:pgMar w:left="436" w:top="266" w:right="45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vote is important:</w:t>
      </w:r>
    </w:p>
    <w:p>
      <w:pPr>
        <w:spacing w:after="0" w:line="131" w:lineRule="exact"/>
        <w:rPr>
          <w:sz w:val="20"/>
          <w:szCs w:val="20"/>
          <w:color w:val="auto"/>
        </w:rPr>
      </w:pPr>
    </w:p>
    <w:p>
      <w:pPr>
        <w:ind w:left="960" w:right="2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will be considered as shares present and entitled to vote at the Annual Meeting, but will not be counted as votes cast for or against any given matter.</w:t>
      </w:r>
    </w:p>
    <w:p>
      <w:pPr>
        <w:spacing w:after="0" w:line="67" w:lineRule="exact"/>
        <w:rPr>
          <w:rFonts w:ascii="Times New Roman" w:cs="Times New Roman" w:eastAsia="Times New Roman" w:hAnsi="Times New Roman"/>
          <w:sz w:val="18"/>
          <w:szCs w:val="18"/>
          <w:color w:val="auto"/>
        </w:rPr>
      </w:pPr>
    </w:p>
    <w:p>
      <w:pPr>
        <w:ind w:left="960" w:right="14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Common Shares are held in street name through a bank or broker, your bank or broker may vote your shares under certain circumstances if you do not provide voting instructions before the Annual Meeting, in accordance with New York Stock Exchange rules that govern the banks and brokers. These circumstances include “routine matters”, such as the ratification of the appointment of our independent registered public accounting firm described in this Proxy Statement. Thus, if you do not vote your Common Shares with respect to this matter, your bank or broker may vote your Common Shares on your behalf or leave your Common Shares unvoted.</w:t>
      </w:r>
    </w:p>
    <w:p>
      <w:pPr>
        <w:spacing w:after="0" w:line="88"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is not considered a “routine matter”. Thus, if you do not vote your Common Shares with respect to this matter, your bank or broker may not vote your Common Shares, and your Common Shares will be left unvoted on the matter.</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“Broker non-votes” occur when Common Shares represented by proxies received from a bank or broker are not voted </w:t>
      </w:r>
      <w:r>
        <w:rPr>
          <w:rFonts w:ascii="Times New Roman" w:cs="Times New Roman" w:eastAsia="Times New Roman" w:hAnsi="Times New Roman"/>
          <w:sz w:val="18"/>
          <w:szCs w:val="18"/>
          <w:i w:val="1"/>
          <w:iCs w:val="1"/>
          <w:color w:val="auto"/>
        </w:rPr>
        <w:t>on a matter</w:t>
      </w:r>
      <w:r>
        <w:rPr>
          <w:rFonts w:ascii="Times New Roman" w:cs="Times New Roman" w:eastAsia="Times New Roman" w:hAnsi="Times New Roman"/>
          <w:sz w:val="18"/>
          <w:szCs w:val="18"/>
          <w:color w:val="auto"/>
        </w:rPr>
        <w:t xml:space="preserve"> because the bank or broker did not receive voting instructions from the bank or broker’s customer. Broker non-votes will be treated the same as abstentions, which means the Common Shares will be deemed to be present at the Annual Meeting for purposes of determining whether a quorum exists, provided that the Common Shares have been voted on at least one matter. In tabulating the votes for any particular proposal, Common Shares that constitute broker non-votes or abstentions are not considered shares present and entitled to vote with respect to </w:t>
      </w:r>
      <w:r>
        <w:rPr>
          <w:rFonts w:ascii="Times New Roman" w:cs="Times New Roman" w:eastAsia="Times New Roman" w:hAnsi="Times New Roman"/>
          <w:sz w:val="18"/>
          <w:szCs w:val="18"/>
          <w:i w:val="1"/>
          <w:iCs w:val="1"/>
          <w:color w:val="auto"/>
        </w:rPr>
        <w:t>the matter on which the broker has not voted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abstention has been received</w:t>
      </w:r>
      <w:r>
        <w:rPr>
          <w:rFonts w:ascii="Times New Roman" w:cs="Times New Roman" w:eastAsia="Times New Roman" w:hAnsi="Times New Roman"/>
          <w:sz w:val="18"/>
          <w:szCs w:val="18"/>
          <w:color w:val="auto"/>
        </w:rPr>
        <w:t>. Thus, abstentions and broker non-votes will not have an effect on such matter because they will not be counted as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cast, but they may have an effect on whether a quorum is present.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INTERNET AVAILABILITY FOR VOTING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Following receipt of your proxy card, you may vote your Common Shares by accessing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1: ELECTION OF DIRECTORS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Articles of Incorporation provide that our Board of Directors shall consist of not fewer than three nor more than 11 directors. Pursuant to our Shareholders’ Agreement dated August 26, 2024 (the “</w:t>
      </w:r>
      <w:r>
        <w:rPr>
          <w:rFonts w:ascii="Times New Roman" w:cs="Times New Roman" w:eastAsia="Times New Roman" w:hAnsi="Times New Roman"/>
          <w:sz w:val="18"/>
          <w:szCs w:val="18"/>
          <w:i w:val="1"/>
          <w:iCs w:val="1"/>
          <w:color w:val="auto"/>
        </w:rPr>
        <w:t>Shareholders’ Agreement</w:t>
      </w:r>
      <w:r>
        <w:rPr>
          <w:rFonts w:ascii="Times New Roman" w:cs="Times New Roman" w:eastAsia="Times New Roman" w:hAnsi="Times New Roman"/>
          <w:sz w:val="18"/>
          <w:szCs w:val="18"/>
          <w:color w:val="auto"/>
        </w:rPr>
        <w:t>”) with Capital Maritime &amp; Trading Corp. (“</w:t>
      </w:r>
      <w:r>
        <w:rPr>
          <w:rFonts w:ascii="Times New Roman" w:cs="Times New Roman" w:eastAsia="Times New Roman" w:hAnsi="Times New Roman"/>
          <w:sz w:val="18"/>
          <w:szCs w:val="18"/>
          <w:i w:val="1"/>
          <w:iCs w:val="1"/>
          <w:color w:val="auto"/>
        </w:rPr>
        <w:t>Capital Maritime</w:t>
      </w:r>
      <w:r>
        <w:rPr>
          <w:rFonts w:ascii="Times New Roman" w:cs="Times New Roman" w:eastAsia="Times New Roman" w:hAnsi="Times New Roman"/>
          <w:sz w:val="18"/>
          <w:szCs w:val="18"/>
          <w:color w:val="auto"/>
        </w:rPr>
        <w:t>”), CGP LLC and Capital Gas Corp. (“</w:t>
      </w:r>
      <w:r>
        <w:rPr>
          <w:rFonts w:ascii="Times New Roman" w:cs="Times New Roman" w:eastAsia="Times New Roman" w:hAnsi="Times New Roman"/>
          <w:sz w:val="18"/>
          <w:szCs w:val="18"/>
          <w:i w:val="1"/>
          <w:iCs w:val="1"/>
          <w:color w:val="auto"/>
        </w:rPr>
        <w:t>Capital Gas</w:t>
      </w:r>
      <w:r>
        <w:rPr>
          <w:rFonts w:ascii="Times New Roman" w:cs="Times New Roman" w:eastAsia="Times New Roman" w:hAnsi="Times New Roman"/>
          <w:sz w:val="18"/>
          <w:szCs w:val="18"/>
          <w:color w:val="auto"/>
        </w:rPr>
        <w:t>” and together with Capital Maritime and CGP LLC, the “</w:t>
      </w:r>
      <w:r>
        <w:rPr>
          <w:rFonts w:ascii="Times New Roman" w:cs="Times New Roman" w:eastAsia="Times New Roman" w:hAnsi="Times New Roman"/>
          <w:sz w:val="18"/>
          <w:szCs w:val="18"/>
          <w:i w:val="1"/>
          <w:iCs w:val="1"/>
          <w:color w:val="auto"/>
        </w:rPr>
        <w:t>Capital Parties</w:t>
      </w:r>
      <w:r>
        <w:rPr>
          <w:rFonts w:ascii="Times New Roman" w:cs="Times New Roman" w:eastAsia="Times New Roman" w:hAnsi="Times New Roman"/>
          <w:sz w:val="18"/>
          <w:szCs w:val="18"/>
          <w:color w:val="auto"/>
        </w:rPr>
        <w:t>”), for as long as Capital Maritime and its affiliates have the right to designate for nomination for election to the Board of Directors at least one individual, the size of our Board of Directors shall be eight. Each of the following currently serves as a director: Keith Forman, Gerasimos (Jerry) Kalogiratos, Gurpal Grewal, Atsunori Kozuki, Rory Hussey, Abel Rasterhoff, Eleni Tsoukala and Dimitris P. Christacopoulos. Directors elected at meetings of Shareholders shall hold office until the next annual meeting of Shareholders, and until their successors are elected and qualified or until their earlier death, resignation, disqualification or removal.</w:t>
      </w:r>
    </w:p>
    <w:p>
      <w:pPr>
        <w:spacing w:after="0" w:line="19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Mr. Abel Rasterhoff, who joined our Board of Directors on April 3, 2007 and will hold office as Director until the upcoming Annual Meeting, has determined to resign from his functions effective upon the commencement of the Annual Meeting. Our Board of Directors expresses its gratitude to Mr. Abel Rasterhoff, for his contribution as director and member of our audit committee and compensation committee. To fill the seat vacated by</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Mr. Abel Rasterhoff, Mr. Martin Houston has been nominated by the Nominating Committee and Board of Directors for election to serve as Director from the Annual Meeting until the 2026 Annual Meeting of Shareholders or until a successor is duly elected and qualified or until his earlier death, resignation, disqualification or removal.</w:t>
      </w:r>
    </w:p>
    <w:p>
      <w:pPr>
        <w:spacing w:after="0" w:line="18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Pursuant to the Shareholders’ Agreement, in connection with each annual meeting of Shareholders, until the date on which Capital Maritime and its affiliates cease to own at least 25% of the outstanding Common Shares, Capital Maritime and its affiliates will have the right to designate three individuals for nomination to the Board of Directors, who shall be reasonably acceptable to the Nominating Committee. If the holdings of Capital Maritime and its affiliates fall below 25% but remain above 15% of the outstanding Common Shares, Capital Maritime and its affiliates thereafter will have the right to so designate two individuals. If the holdings of Capital Maritime and its affiliates fall below 15% but remain above 5% of the outstanding Common Shares, Capital Maritime and its affiliates thereafter will have the right to so designate one individual. If the holdings of Capital Maritime and its affiliates fall below 5%, Capital Maritime thereafter will no longer have any rights to designate individuals for nomination. For so long as Capital Maritime and its affiliates have the right to designate for nomination to the Board of Directors at least one individual pursuant to the Shareholders’ Agreement, we are required to include, and cause the Nominating Committee to include, any such individual in the slate of nominees recommended by the Nominating Committee to holders of Common Shares for election to the Board of Directors. The remaining nominees for election to the Board of Directors are nominated by the Nominating Committee. As of August 7, 2025, Capital Maritime and its affiliates own approximately 58.7% of the outstanding Common Shares (based on 58,725,267 Common Shares outstanding and excluding 1,221,061 Common Shares held in treasury). See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 below. Capital Maritime and its affiliates have designated Gerasimos (Jerry) Kalogiratos, Gurpal Grewal and Atsunori Kozuki for nomination to the Board of Directors.</w:t>
      </w:r>
    </w:p>
    <w:p>
      <w:pPr>
        <w:spacing w:after="0" w:line="195"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The Board of Directors has formed the following Board committees: an audit committee (the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a compensation committee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 conflicts committee (the “</w:t>
      </w:r>
      <w:r>
        <w:rPr>
          <w:rFonts w:ascii="Times New Roman" w:cs="Times New Roman" w:eastAsia="Times New Roman" w:hAnsi="Times New Roman"/>
          <w:sz w:val="18"/>
          <w:szCs w:val="18"/>
          <w:i w:val="1"/>
          <w:iCs w:val="1"/>
          <w:color w:val="auto"/>
        </w:rPr>
        <w:t>Conflicts Committee</w:t>
      </w:r>
      <w:r>
        <w:rPr>
          <w:rFonts w:ascii="Times New Roman" w:cs="Times New Roman" w:eastAsia="Times New Roman" w:hAnsi="Times New Roman"/>
          <w:sz w:val="18"/>
          <w:szCs w:val="18"/>
          <w:color w:val="auto"/>
        </w:rPr>
        <w:t>”) and a nominating committee (the “</w:t>
      </w:r>
      <w:r>
        <w:rPr>
          <w:rFonts w:ascii="Times New Roman" w:cs="Times New Roman" w:eastAsia="Times New Roman" w:hAnsi="Times New Roman"/>
          <w:sz w:val="18"/>
          <w:szCs w:val="18"/>
          <w:i w:val="1"/>
          <w:iCs w:val="1"/>
          <w:color w:val="auto"/>
        </w:rPr>
        <w:t>Nominating Committee</w:t>
      </w:r>
      <w:r>
        <w:rPr>
          <w:rFonts w:ascii="Times New Roman" w:cs="Times New Roman" w:eastAsia="Times New Roman" w:hAnsi="Times New Roman"/>
          <w:sz w:val="18"/>
          <w:szCs w:val="18"/>
          <w:color w:val="auto"/>
        </w:rPr>
        <w:t>”). In addition to the Board committees, the Board has formed an environmental, social and governance committee (the “</w:t>
      </w:r>
      <w:r>
        <w:rPr>
          <w:rFonts w:ascii="Times New Roman" w:cs="Times New Roman" w:eastAsia="Times New Roman" w:hAnsi="Times New Roman"/>
          <w:sz w:val="18"/>
          <w:szCs w:val="18"/>
          <w:i w:val="1"/>
          <w:iCs w:val="1"/>
          <w:color w:val="auto"/>
        </w:rPr>
        <w:t>ESG Committee</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6" w:right="49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Nominees</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accompanying form of proxy, when properly executed and returned to the Company, will be voted FOR the election as director of each person named below, unless the proxy contains contrary instructions. Management has no reason to believe that the nominee is unable or unwilling to serve if elected. If the nominee should become unable or unwilling to serve as a director, however, the proxy will be voted for the election of such other person as shall be recommended by the Nominating Committee and nominated by the Board.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has nominated each of the following persons for re-election or election (as applicable) as directors, to serve until the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of Shareholders, and until their successors are elected and qualified: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Pr>
          <w:p>
            <w:pPr>
              <w:spacing w:after="0"/>
              <w:rPr>
                <w:sz w:val="16"/>
                <w:szCs w:val="16"/>
                <w:color w:val="auto"/>
              </w:rPr>
            </w:pPr>
          </w:p>
        </w:tc>
        <w:tc>
          <w:tcPr>
            <w:tcW w:w="16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Pr>
          <w:p>
            <w:pPr>
              <w:spacing w:after="0"/>
              <w:rPr>
                <w:sz w:val="16"/>
                <w:szCs w:val="16"/>
                <w:color w:val="auto"/>
              </w:rPr>
            </w:pPr>
          </w:p>
        </w:tc>
        <w:tc>
          <w:tcPr>
            <w:tcW w:w="28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c>
          <w:tcPr>
            <w:tcW w:w="57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Committee Membership</w:t>
            </w:r>
          </w:p>
        </w:tc>
        <w:tc>
          <w:tcPr>
            <w:tcW w:w="0" w:type="dxa"/>
            <w:vAlign w:val="bottom"/>
          </w:tcPr>
          <w:p>
            <w:pPr>
              <w:spacing w:after="0"/>
              <w:rPr>
                <w:sz w:val="1"/>
                <w:szCs w:val="1"/>
                <w:color w:val="auto"/>
              </w:rPr>
            </w:pPr>
          </w:p>
        </w:tc>
      </w:tr>
      <w:tr>
        <w:trPr>
          <w:trHeight w:val="191"/>
        </w:trPr>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Forman</w:t>
            </w:r>
          </w:p>
        </w:tc>
        <w:tc>
          <w:tcPr>
            <w:tcW w:w="10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 and Chairman of the Board of</w:t>
            </w:r>
          </w:p>
        </w:tc>
        <w:tc>
          <w:tcPr>
            <w:tcW w:w="100" w:type="dxa"/>
            <w:vAlign w:val="bottom"/>
          </w:tcPr>
          <w:p>
            <w:pPr>
              <w:spacing w:after="0"/>
              <w:rPr>
                <w:sz w:val="16"/>
                <w:szCs w:val="16"/>
                <w:color w:val="auto"/>
              </w:rPr>
            </w:pPr>
          </w:p>
        </w:tc>
        <w:tc>
          <w:tcPr>
            <w:tcW w:w="5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Audit Committee (Chair)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Committee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ESG Committee (Chair)</w:t>
            </w:r>
          </w:p>
        </w:tc>
        <w:tc>
          <w:tcPr>
            <w:tcW w:w="0" w:type="dxa"/>
            <w:vAlign w:val="bottom"/>
          </w:tcPr>
          <w:p>
            <w:pPr>
              <w:spacing w:after="0"/>
              <w:rPr>
                <w:sz w:val="1"/>
                <w:szCs w:val="1"/>
                <w:color w:val="auto"/>
              </w:rPr>
            </w:pPr>
          </w:p>
        </w:tc>
      </w:tr>
      <w:tr>
        <w:trPr>
          <w:trHeight w:val="31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Gerasimos (Jerry)</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Nominating Committee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Kalogiratos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ESG Committee</w:t>
            </w:r>
          </w:p>
        </w:tc>
        <w:tc>
          <w:tcPr>
            <w:tcW w:w="0" w:type="dxa"/>
            <w:vAlign w:val="bottom"/>
          </w:tcPr>
          <w:p>
            <w:pPr>
              <w:spacing w:after="0"/>
              <w:rPr>
                <w:sz w:val="1"/>
                <w:szCs w:val="1"/>
                <w:color w:val="auto"/>
              </w:rPr>
            </w:pP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Gurpal Grewal</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78</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Atsunori Kozuki</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66</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ESG Committee</w:t>
            </w:r>
          </w:p>
        </w:tc>
        <w:tc>
          <w:tcPr>
            <w:tcW w:w="0" w:type="dxa"/>
            <w:vAlign w:val="bottom"/>
          </w:tcPr>
          <w:p>
            <w:pPr>
              <w:spacing w:after="0"/>
              <w:rPr>
                <w:sz w:val="1"/>
                <w:szCs w:val="1"/>
                <w:color w:val="auto"/>
              </w:rPr>
            </w:pPr>
          </w:p>
        </w:tc>
      </w:tr>
      <w:tr>
        <w:trPr>
          <w:trHeight w:val="30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Dimitrios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Christacopoulos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Committee (Chair)</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Nominating Committee</w:t>
            </w:r>
          </w:p>
        </w:tc>
        <w:tc>
          <w:tcPr>
            <w:tcW w:w="0" w:type="dxa"/>
            <w:vAlign w:val="bottom"/>
          </w:tcPr>
          <w:p>
            <w:pPr>
              <w:spacing w:after="0"/>
              <w:rPr>
                <w:sz w:val="1"/>
                <w:szCs w:val="1"/>
                <w:color w:val="auto"/>
              </w:rPr>
            </w:pPr>
          </w:p>
        </w:tc>
      </w:tr>
      <w:tr>
        <w:trPr>
          <w:trHeight w:val="33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Martin Houston</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67</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Rory Hussey</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73</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Committee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0" w:type="dxa"/>
            <w:vAlign w:val="bottom"/>
          </w:tcPr>
          <w:p>
            <w:pPr>
              <w:spacing w:after="0"/>
              <w:rPr>
                <w:sz w:val="1"/>
                <w:szCs w:val="1"/>
                <w:color w:val="auto"/>
              </w:rPr>
            </w:pPr>
          </w:p>
        </w:tc>
      </w:tr>
      <w:tr>
        <w:trPr>
          <w:trHeight w:val="31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Eleni Tsoukala</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Conflicts Committee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Nominating Committee (Chair)</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Biographical information with respect to each nominee is set forth below:</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Keith Forman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Mr. Forman is the chairman of our Board of Directors and a member of the Audit Committee, Conflicts Committee, Compensation Committee and ESG Committee. Mr. Forman joined our Board of Directors on April 3, 2007. From July 2022 until December 2023, Mr. Forman acted as a senior advisor to Kayne Anderson Capital Advisors, an alternative investment management firm focused on energy infrastructure and renewables. Mr. Forman served in a similar role at Industry Funds Management, an Australian fund manager investing in infrastructure projects worldwide, from 2012 to 2023. In January 2020, Mr. Forman began a fellowship at Harvard University’s Advanced Leadership Initiative which ended on December 31, 2021.</w:t>
      </w:r>
    </w:p>
    <w:p>
      <w:pPr>
        <w:spacing w:after="0" w:line="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Mr. Forman has held a number of executive, director and advisory positions at investment companies and publicly traded limited partnerships throughout his career.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limited partnership. Mr. Forman holds a B.A. degree in economics and political science from Vanderbilt University.</w:t>
      </w:r>
    </w:p>
    <w:p>
      <w:pPr>
        <w:sectPr>
          <w:pgSz w:w="11900" w:h="16838" w:orient="portrait"/>
          <w:cols w:equalWidth="0" w:num="1">
            <w:col w:w="11020"/>
          </w:cols>
          <w:pgMar w:left="440" w:top="266" w:right="4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Gerasimos (Jerry) Kalogiratos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Mr. Kalogiratos was appointed as the Chief Executive of CGP LLC in June 2015 and, in connection with the Conversion, was appointed as our Chief Executive Officer on the Effective Date. He currently serves on the ESG Committee and Nominating Committee. He had also previously served as Chief Financial Officer of CGP LLC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20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From March 2019 to July 2021, Mr. Kalogiratos served on the board of directors of NYSE listed Diamond S Shipping Inc. Mr. Kalogiratos also serves on the board of directors of CPLP PLC, the advisory committee of West P&amp;I Club and the board of directors of the MERC Foundation.</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Atsunori Kozuki</w:t>
      </w:r>
    </w:p>
    <w:p>
      <w:pPr>
        <w:spacing w:after="0" w:line="121"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Mr. Atsunori Kozuki joined our Board of Directors on October 2, 2023 and he currently serves on the ESG Committee. Mr. Kozuki served as Principal Project Developer and previously as General Manager for INPEX Corporation, in charge of LNG business development, marketing and shipping having established a solid LNG transportation stream for both Ichthys LNG Project and Prelude LNG Project. Mr. Kozuki has more than 36 years of experience in LNG business development, including shipping of 21 LNG carriers for chartering, owning and operation before he joined our Board of Directors. He started his career as Project Developer and then Project Manager for Nissho Iwai Corporation, where he developed new LNG projects between 1982 and 2002. From 1987 to 1990, he was a core member of the team that established an LNG Joint Venture with Pertamina. Before joining INPEX Corporation, Mr. Kozuki served from 2002 to 2003 as Executive Director and Officer of Nippon Colin Corporation and from 2003 to 2009 as a Director at Johnson &amp; Johnson K.K., in charge of new business development and R&amp;D in the medical sector. Mr. Kozuki possesses four patents including two business model patents. Mr. Kozuki holds an MSIA and an MBA from the Carnegie Mellon University School of Business and a B.A. degree in Economics from Keio University.</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Gurpal Grewal</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Mr. Gurpal Grewal joined our Board of Directors on November 16, 2017. Mr. Gurpal Grewal previously served as technical director of Capital Ship Management Corp. Mr. Grewal is a chartered engineer and has over 35 years of experience in new building design, construction, and supervision of bulk carriers, tankers, LPG and LNG/C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ectPr>
          <w:pgSz w:w="11900" w:h="16838" w:orient="portrait"/>
          <w:cols w:equalWidth="0" w:num="1">
            <w:col w:w="11020"/>
          </w:cols>
          <w:pgMar w:left="440" w:top="266" w:right="43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Rory Hussey</w:t>
      </w:r>
    </w:p>
    <w:p>
      <w:pPr>
        <w:spacing w:after="0" w:line="229"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Mr. Rory Hussey joined our Board of Directors on September 8, 2017 and serves on the Conflicts Committee, Audit Committee and Compensation Committee.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Eleni Tsoukala</w:t>
      </w:r>
    </w:p>
    <w:p>
      <w:pPr>
        <w:spacing w:after="0" w:line="121"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Ms. Tsoukala was appointed to our Board of Directors on February 28, 2018 and serves on the Audit Committee, Compensation Committee, Conflicts Committee and Nominating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Ms. Tsoukala holds an LL.M. degree in International Business Law from University College London and an LL.B. degree from the University of Oxford and is a qualified attorney-at-law admitted to the bar in England and Greece.</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Dimitris P. Christacopoulos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Mr. Christacopoulos joined our Board of Directors on September 30, 2011, following our merger with NYSE-listed Crude Carriers, where he had served as a director since 2010 and he currently serves on the Audit Committee, Conflicts Committee and Nominating Committee. Mr. Christacopoulos currently is a Senior Partner at Octane Management Consultants, the fastest growing Greek consulting firm. He specializes in the areas of corporate strategy, finance, and performance improvement, having led more than 500 assignments for leading organizations in Europe and the US. He started his professional career as an analyst in the R&amp;D Department of a major food producer in Greece in 1992 before joining Booz Allen &amp; Hamilton Consulting in 1995 in New York. He subsequently joined Barclays Capital as the Director for Strategic Planning in London from 1999 to 2002 at which time he became Director of Corporate Finance &amp; Strategy at Aspis Group of Companies in Athens. In 2005, he joined Fortis Bank NV/SA as a Director in the Energy, Commodities and Transportation Group and until 2010 acted as the Deputy Country Head for Greece, setting up the bank’s Greek operations and expanding its presence in ship and energy finance in the region. Mr. Christacopoulos has a diploma in chemical engineering from the National Technical University of Athens and an MBA from Columbia Business School in New York.</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Martin Houston</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Mr. Houston began his career as petroleum geologist in 1979 and since then has worked worldwide for 45 years, managing all forms of enterprise in the energy industry. He is currently the Chairman of Omega Oil and Gas Ltd and a Non-Executive Director of Energean plc, BUPA Arabia SA, CC Energy and Singapore GasCo. He is also a Senior Advisor at Moelis and Company. In October 2024, he stepped down as co-founder and Executive Chairman of Tellurian Inc, following the sale of the company. He retired from BG Group in 2014 as Chief Operating Officer and Executive Director after 32 years. Mr. Houston is a Merryck mentor and a Fellow of the Geological Society of London. He’s on the Advisory Board of the Center on Global Energy Policy at Columbia University’s School of International and Public Affairs in New York and the Chairman of the Philanthropic Board of Newcastle University. He is an invited member of the National Petroleum Council of the United States. Since 2000, Mr. Martin has been a member of boards of directors in several jurisdictions, including boards of directors for companies listed on or included in the FTSE, Nasdaq, ASE, ASX and Tadāwul. Mr. Houston earned a BSc in geology from Newcastle University and an MSc in petroleum geology from Imperial College, London.</w:t>
      </w:r>
    </w:p>
    <w:p>
      <w:pPr>
        <w:sectPr>
          <w:pgSz w:w="11900" w:h="16838" w:orient="portrait"/>
          <w:cols w:equalWidth="0" w:num="1">
            <w:col w:w="11000"/>
          </w:cols>
          <w:pgMar w:left="440" w:top="266"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Recommendation</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EACH OF THE NOMINEES FOR ELECTION AS DIRECTOR.</w:t>
      </w:r>
    </w:p>
    <w:p>
      <w:pPr>
        <w:sectPr>
          <w:pgSz w:w="11900" w:h="16838" w:orient="portrait"/>
          <w:cols w:equalWidth="0" w:num="1">
            <w:col w:w="10340"/>
          </w:cols>
          <w:pgMar w:left="780" w:top="266" w:right="7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below is certain information concerning our executive officers who are not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284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Age</w:t>
            </w:r>
          </w:p>
        </w:tc>
        <w:tc>
          <w:tcPr>
            <w:tcW w:w="74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Position</w:t>
            </w:r>
          </w:p>
        </w:tc>
      </w:tr>
      <w:tr>
        <w:trPr>
          <w:trHeight w:val="22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Nikolaos Kalapotharakos</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7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0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Nikolaos Tripodakis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bl>
    <w:p>
      <w:pPr>
        <w:spacing w:after="0" w:line="196"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Nikolaos Kalapotharakos, Chief Financial Officer</w:t>
      </w:r>
      <w:r>
        <w:rPr>
          <w:rFonts w:ascii="Times New Roman" w:cs="Times New Roman" w:eastAsia="Times New Roman" w:hAnsi="Times New Roman"/>
          <w:sz w:val="18"/>
          <w:szCs w:val="18"/>
          <w:color w:val="auto"/>
        </w:rPr>
        <w:t>. Mr. Kalapotharakos was appointed as Chief Financial Officer of CGP LLC on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and, in connection with the Conversion, was appointed as our Chief Financial Officer on the Effective Date.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 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Nikolaos Tripodakis, Chief Commercial Officer</w:t>
      </w:r>
      <w:r>
        <w:rPr>
          <w:rFonts w:ascii="Times New Roman" w:cs="Times New Roman" w:eastAsia="Times New Roman" w:hAnsi="Times New Roman"/>
          <w:sz w:val="18"/>
          <w:szCs w:val="18"/>
          <w:color w:val="auto"/>
        </w:rPr>
        <w:t>. Mr. Nikolaos Tripodakis was appointed as our Chief Commercial Officer in December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Nikolaos Tripodakis has more than ten years of experience in LNG shipping, trading, and chartering. He served as an LNG trader and charterer at Hartree Partners in London where he developed the physical LNG freight portfolio. Previously, he worked at the LNG trading desk of Noble Group and prior to that, he facilitated the development of the LNG desk at Simpson, Spence &amp; Young. He holds an MEng in Naval Architecture and Marine Engineering from the National Technical University of Athens and an MSc in Shipping, Trade and Finance from Bayes (formerly Cass) Business School, London.</w:t>
      </w:r>
    </w:p>
    <w:p>
      <w:pPr>
        <w:sectPr>
          <w:pgSz w:w="11900" w:h="16838" w:orient="portrait"/>
          <w:cols w:equalWidth="0" w:num="1">
            <w:col w:w="11020"/>
          </w:cols>
          <w:pgMar w:left="440" w:top="266" w:right="4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Responsibilities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the Marshall Islands Business Corporations Act, subject to the limitations of the Articles of Incorporation and of the Marshall Islands Business Corporations Act as to actions that are required to be authorized or approved by Shareholders, all corporate powers of the Company are exercised by or under the authority of, and the business and affairs of the Company are managed by, the Board of Directors.</w:t>
      </w:r>
    </w:p>
    <w:p>
      <w:pPr>
        <w:spacing w:after="0" w:line="17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We strongly encourage all directors to attend the Annual Meeting, but we have no specific policy requiring attendance by directors at such meetings.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Criteria</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Nominating Committee is responsible for identifying individuals believed to be qualified to become directors, consistent with criteria approved by the Board of Directors, and to select, or recommend to the Board of Directors, the nominees to stand for election as directors at the Annual Meeting or, if applicable, at a special meeting of Shareholders. In selecting or recommending candidates, the Nominating Committee shall take into consideration the criteria approved by the Board of Directors and such other factors as it deems appropriate. The criteria of the Board of Directors for selecting directors include such factors as (i) the candidate’s ability to comprehend the Company’s strategic goals and to help guide the Company towards the accomplishment of those goals; (ii) the history of the candidate in conducting his or her personal and professional affairs with the utmost integrity and observing the highest standards of values, character and ethics; (iii) the candidate’s time availability for participation at meetings of the Board of Directors and its applicable committees; (iv) the candidate’s judgment and business experience with related businesses or other organizations of comparable size; (v) the knowledge and skills the candidate would add to the Board of Directors and its committees, including the candidate’s knowledge of the rules and regulations of the SEC and national stock exchanges, and accounting and financial reporting requirements; (vi) the candidate’s ability to satisfy the criteria for independence established by the SEC and national stock exchanges; and (vii) the interplay of the candidate’s experience with the experience of other members of the Board of Directors.</w:t>
      </w:r>
    </w:p>
    <w:p>
      <w:pPr>
        <w:spacing w:after="0" w:line="19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Bylaws require Shareholders proposing nominations for the election of directors to give us advance notice. This does not apply to the designation of director nominees by the Capital Parties pursuant to the Shareholders’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 of Directors</w:t>
      </w:r>
    </w:p>
    <w:p>
      <w:pPr>
        <w:spacing w:after="0" w:line="121"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and its committees meet throughout the year generally on a quarterly schedule, and hold special meetings and act by written consent from time to time as appropriate. During the fiscal year ended December 31, 2024, our Board of Directors held 16 meetings and also approved certain actions by unanimous written consents. As part of our board meetings, our independent directors meet without the non-independent directors in attendance. In addition, the board regularly holds sessions without the CEO and executive officers present. During the year ended December 31, 2024, our independent directors held four executive sessions. Our Audit Committee held four meetings, our Conflicts Committee met once, our Nominating Committee met once and our Compensation Committee did not meet during the year ended December 31, 2024. All of our directors attended all of the meetings of the Board of Directors and the committees on which they served.</w:t>
      </w:r>
    </w:p>
    <w:p>
      <w:pPr>
        <w:spacing w:after="0" w:line="18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delegates various responsibilities and authority to Board committees. Committees regularly report on their activities and actions to the full Board.</w:t>
      </w:r>
    </w:p>
    <w:p>
      <w:pPr>
        <w:sectPr>
          <w:pgSz w:w="11900" w:h="16838" w:orient="portrait"/>
          <w:cols w:equalWidth="0" w:num="1">
            <w:col w:w="10940"/>
          </w:cols>
          <w:pgMar w:left="440" w:top="266" w:right="519" w:bottom="1440" w:gutter="0" w:footer="0" w:header="0"/>
        </w:sectPr>
      </w:pPr>
    </w:p>
    <w:bookmarkStart w:id="17" w:name="page18"/>
    <w:bookmarkEnd w:id="17"/>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Board of Directors has determined that each member of the Audit Committee, Compensation Committee and Conflicts Committee, is an independent director, in accordance with the standards adopted by the Nasdaq,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and any other applicable laws and regulations governing independence from time to time. The Board of Directors determined that Messrs. Kalogiratos and Grewal are not independent under the Nasdaq listing rules. Mr. Kalogiratos is a member of the Nominating Committee.</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written charters for all committees, as well as a Code of Business Conduct and Ethics that applies to the Company and all of its employees, directors, officers and agents. The charters for the committees of the Board of Directors and the Code of Business Conduct and Ethics are publicly available in the “Corporate Governance” section of our website at www.capitalcleanenergycarriers.com, and each is available in print, upon request and without charge, to any shareholder. Information that is contained on or may be accessed through such website is not incorporated by reference herein. Each of the committees has the authority to retain independent advisors and consultants, with all fees and expenses to be paid by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right="260" w:firstLine="440"/>
        <w:spacing w:after="0" w:line="289" w:lineRule="auto"/>
        <w:rPr>
          <w:sz w:val="20"/>
          <w:szCs w:val="20"/>
          <w:color w:val="auto"/>
        </w:rPr>
      </w:pPr>
      <w:r>
        <w:rPr>
          <w:rFonts w:ascii="Times New Roman" w:cs="Times New Roman" w:eastAsia="Times New Roman" w:hAnsi="Times New Roman"/>
          <w:sz w:val="17"/>
          <w:szCs w:val="17"/>
          <w:color w:val="auto"/>
        </w:rPr>
        <w:t>Our Audit Committee currently consists of directors Keith Forman (Chair), Dimitris Christacopoulos, Rory Hussey, Abel Rasterhoff, and Eleni Tsoukala, each of whom the Board of Directors has determined is an independent director. Mr. Rasterhoff has been designated an “Audit Committee Financial Expert” under the SEC rules. The Audit Committee has powers and performs the functions customarily performed by such a committee.</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of Directors’ oversight of (i) the integrity of our financial statements, (ii) our compliance with legal and regulatory requirements, (iii) significant financial transactions and financial policy and standards, (iv) the independent auditors’ qualifications and independence, (v) the performance of the independent auditors and our internal auditing function, (vi) the independent auditors’ annual audit of our financial statements, and (vii) our systems of disclosure controls and procedures and internal controls over financial reporting. The function of the Audit Committee is oversight. Our management is responsible for the preparation, presentation and integrity of our financial statements and for the effectiveness of internal control over financial reporting. Management and the internal auditing function are responsible for maintaining appropriate accounting and financial reporting principles and policies and internal controls and procedures that provide for compliance with accounting standards and applicable laws and regulations. Our independent auditors, Deloitte Certified Public Accountants S.A., are responsible for planning and carrying out a proper audit of our annual financial statements and of our internal control over financial reporting and other procedures.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Compensation Committee currently consists of directors Rory Hussey (Chair), Keith Forman, Abel Rasterhoff and Eleni Tsoukala.</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discharges certain responsibilities of the Board of Directors relating to compensation by us. These include making recommendation to the Board of Directors in respect of compensation of members of the Board of Directors, but exclude compensation of our executive officers pursuant to our executive services agreements described below. The Compensation Committee has overall responsibility for approving and evaluating our compensation plans, policies and programs. The compensation committee reviews compensation of the members of the board of directors and has overall responsibility for approving and evaluating our compensation plans, policies and programs.</w:t>
      </w:r>
    </w:p>
    <w:p>
      <w:pPr>
        <w:sectPr>
          <w:pgSz w:w="11900" w:h="16838" w:orient="portrait"/>
          <w:cols w:equalWidth="0" w:num="1">
            <w:col w:w="11000"/>
          </w:cols>
          <w:pgMar w:left="440" w:top="27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Nominating Committee</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 currently consists of directors Eleni Tsoukala (Chair), Dimitris Christacopoulos and Gerasimos (Jerry) Kalogiratos. As noted above, the Board of Directors determined that Mr. Kalogiratos is not independent under the Nasdaq listing rules. As a foreign private issuer under SEC rules, we are not required to comply with the requirements under the Nasdaq listing rules that the Nominating Committee be comprised solely of independent directors and the charter of the committee provides that as long as we are a foreign private issuer, only a majority of the members of the Nominating Committee need be independent directors under the Nasdaq listing rules.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Committee’s responsibilities include (i) identifying individuals believed to be qualified to become directors and to select, or recommend to the Board of Directors, the nominees to stand for election as directors as meetings of Shareholders, (ii) subject to the Shareholders’ Agreement and applicable law, considering a director’s offer of resignation which specifies it is subject to acceptance and recommending to the Board of Directors whether to accept the resignation or reject it and (iii) developing and recommending to the Board of Directors standards to be applies in making determinations as to the absence of material relationships between us and a director.</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For descriptions of the nominations process and the provisions of the Shareholders’ Agreement applicable to the designation of director nominees by the Capital Parties, see Proposal One above and “Certain Relationships and Related Transactions—Shareholders’ Agreement”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Conflicts Committee currently consists of directors Dimitris Christacopoulos (Chair), Keith Forman, Rory Hussey and Eleni Tsoukala.</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primary purpose of the Conflicts Committee is to consider and evaluate and, if the Conflicts Committee deems is appropriate, negotiate the terms, and grant Special Approval (as defined in Article IX of the Articles of Incorporation) with respect to any contract, agreement, arrangement or transaction between Capital Maritime or any of its affiliates, on the one hand, and us, on the other hand. Specifically, the Conflicts Committee is responsible for carrying out certain duties set forth in the Shareholders’ Agreement and Registration Rights Agreement (as defined and discussed below).</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Our Conflicts Committee charter provides that the members of the committee (i) may not be security holders, officers or employees of Capital Maritime and its affiliates, (ii) may not be holders of any ownership in us other than Common Shares and (iii) must be independent directors under the Nasdaq listing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Committee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Board committees, the Board has formed the ESG Committee. The ESG Committee currently consists of directors Keith Forman (Chair), Gerasimos (Jerry) Kalogiratos and Atsunori Kozuki as well as Mr. Stergios Stergiou, our Chief Sustainability Officer. The primary purpose of the ESG Committee is to discharge certain responsibilities relating to environmental, social and corporate governance matters involving us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 The ESG Committee provides oversight and guidance with respect to ESG Matters, evaluates and recommends initiatives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ESG Matters and assesses risks and opportunities related to ESG Matters.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While our Common Shares are listed on the Nasdaq, because we are a foreign private issuer, our Board of Directors is not required to be composed of a majority of independent directors. However, our Bylaws require that a majority of the directors qualify as independent under the Nasdaq listing rules and any applicable SEC rules.</w:t>
      </w:r>
    </w:p>
    <w:p>
      <w:pPr>
        <w:sectPr>
          <w:pgSz w:w="11900" w:h="16838" w:orient="portrait"/>
          <w:cols w:equalWidth="0" w:num="1">
            <w:col w:w="11000"/>
          </w:cols>
          <w:pgMar w:left="440" w:top="266" w:right="459" w:bottom="1440" w:gutter="0" w:footer="0" w:header="0"/>
        </w:sectPr>
      </w:pPr>
    </w:p>
    <w:bookmarkStart w:id="19" w:name="page20"/>
    <w:bookmarkEnd w:id="1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has evaluated whether each of the directors meets the independence requirements set forth in the Nasdaq listing rules and applicable SEC rules. The Nasdaq independence definition includes a series of objective tests, such as whether the director or nominee director is our employee or has engaged in various types of business dealings with us. In addition, the Board of Directors is required to make a subjective determination that no relationships exist which, in the opinion of the Board of Directors, would interfere with the exercise of the director’s independent judgment in carrying out his or her responsibilities. After reviewing the information presented to it, our Board of Directors has determined that each of Messrs. Christacopoulos, Forman, Hussey, Kozuki and Houston and Ms. Tsoukala is “independent” within the meaning of such rules. In making these determinations, the Board of Directors reviewed and discussed information provided by Messrs. Christacopoulos, Forman, Hussey, Kozuki and Houston and Ms. Tsoukala with regard to their respective business and personal activities as they may relate to us and our management. Our independent directors will meet in executive session as often as necessary to fulfill their duties, but no less frequently than annually.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not required to comply with all of the rules that apply to listed U.S. companies. For example, in compliance with the listing rules of the Nasdaq, our Board of Directors amended and restated our Omnibus Plan (as defined below) without seeking the approval of holders of our Shareholders. See “Compensation of Management and Directors—Executive Compensation.”</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Although we are not required to have a majority of independent directors on our Board of Directors or to establish a compensation committee or a nominating/corporate governance committee, our Board of Directors is composed of a majority of independent directors and has established the Audit Committee, the Compensation Committee and the Conflicts Committee, comprised solely of independent directors as well as the Nominating Committee composed of a majority of independent directors.</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Accordingly, we have generally chosen to comply with most of the Nasdaq’s corporate governance rules as though we were a U.S. company. The following are the significant ways in which the Company’s corporate governance practices deviate from the Nasdaq’s corporate governance rules that apply to listed U.S. companies:</w:t>
      </w:r>
    </w:p>
    <w:p>
      <w:pPr>
        <w:spacing w:after="0" w:line="81" w:lineRule="exact"/>
        <w:rPr>
          <w:sz w:val="20"/>
          <w:szCs w:val="20"/>
          <w:color w:val="auto"/>
        </w:rPr>
      </w:pPr>
    </w:p>
    <w:p>
      <w:pPr>
        <w:ind w:left="960" w:right="10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historically voluntarily produced and disseminated a proxy statement in respect of our annual meeting of Shareholders and expect to continue to do so, as a foreign private issuer we are not required to solicit proxies or provide proxy statements to Nasdaq pursuant to the Nasdaq corporate governance rules or Marshall Islands law. Consistent with Marshall Islands law and as provided in our Bylaws, we will notify our Shareholders of meetings between 15 and 60 days before the meeting. This notification will contain, among other things, information regarding business to be transacted at the meeting. In addition, our Bylaws provide that shareholders must give between 90 and 120 days advance notice to properly introduce any business at a meeting of the shareholders.</w:t>
      </w:r>
    </w:p>
    <w:p>
      <w:pPr>
        <w:spacing w:after="0" w:line="92"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Marshall Islands law, we are not required to publicly disclose all agreements and arrangements between any director or nominee for director, and any person or entity other than the Company, relating to compensation or other payment in connection with such person’s candidacy for, or service as, a director of the Company.</w:t>
      </w:r>
    </w:p>
    <w:p>
      <w:pPr>
        <w:spacing w:after="0" w:line="81"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our Articles of Incorporation and Bylaws and the Shareholders’ Agreement, our Nominating Committee is composed of a majority of independent directors.</w:t>
      </w:r>
    </w:p>
    <w:p>
      <w:pPr>
        <w:spacing w:after="0" w:line="67" w:lineRule="exact"/>
        <w:rPr>
          <w:rFonts w:ascii="Times New Roman" w:cs="Times New Roman" w:eastAsia="Times New Roman" w:hAnsi="Times New Roman"/>
          <w:sz w:val="18"/>
          <w:szCs w:val="18"/>
          <w:color w:val="auto"/>
        </w:rPr>
      </w:pPr>
    </w:p>
    <w:p>
      <w:pPr>
        <w:ind w:left="960" w:right="4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obtaining Shareholder approval prior to the issuance of designated securities or the adoption of equity compensation plans or material amendments to such equity compensation plans, we will comply with Marshall Islands law, providing that the board of directors approves share issuances and adoptions of and material amendments to equity compensation plans. Likewise, in lieu of obtaining Shareholder approval prior to the issuance of securities in certain circumstances (e.g., the issuance of securities in connection with an acquisition of the stock or assets of another company), consistent with Marshall Islands law and our Articles of Incorporation and Bylaws, the Board of Directors approves certain share issuances.</w:t>
      </w:r>
    </w:p>
    <w:p>
      <w:pPr>
        <w:sectPr>
          <w:pgSz w:w="11900" w:h="16838" w:orient="portrait"/>
          <w:cols w:equalWidth="0" w:num="1">
            <w:col w:w="10960"/>
          </w:cols>
          <w:pgMar w:left="440" w:top="270" w:right="499" w:bottom="1440" w:gutter="0" w:footer="0" w:header="0"/>
        </w:sectPr>
      </w:pPr>
    </w:p>
    <w:bookmarkStart w:id="20" w:name="page21"/>
    <w:bookmarkEnd w:id="20"/>
    <w:p>
      <w:pPr>
        <w:ind w:left="960" w:right="1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Board of Directors is not required to meet regularly in executive sessions at which only independent directors are present and without management present.</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Marshall Islands law, we do not require that our corporate actions or issuances cannot disparately reduce or restrict the voting rights of existing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the Board of Directors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Although our Board of Directors has not adopted a formal procedure for Shareholders to communicate in writing with members of the Board of Directors, any such communications received by the Company will be forwarded to our Board of Directors. Because our Board of Directors meets frequently and is able to meet on short notice, the Company has not deemed it necessary to adopt a formal communication procedure at this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Nasdaq does not require a foreign private issuer like us to comply with all of its corporate governance requirements. The Board of Directors, however, has adopted a Code of Business Conduct and Ethics. The Board of Directors is responsible for overseeing the Code of Business Conduct and Ethics. Among other matters, the code addresses the following matters concerning the Board of Directors and its committees:</w:t>
      </w:r>
    </w:p>
    <w:p>
      <w:pPr>
        <w:spacing w:after="0" w:line="8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personal relationships, including conflicts of interest and corporate opportunities;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confidential information, including insider trading;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company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relating to records and accounts, including a ban on loans to employees;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compliance procedures;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and anti-corruption.</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written charters for the committees of the Board of Directors. See above “—Meetings and Committees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and the Audit Committee oversee the management of the risks to which the Company is exposed. Risks are identified, assessed and managed on an ongoing basis by the Board of Directors and, under the Board of Director’s oversight, our officers, and addressed during periodic Board of Directors and committee meetings, resulting in both Board of Directors and committee discussions and public disclosure, as appropriate. The Board of Directors is responsible for overseeing our management in the execution of its risk management responsibilities and for reviewing our approach to risk management. The Board of Directors administers this risk oversight function either through the full Board of Directors or through the Audit Committee, each of which examines various components of the risks to which we are exposed as part of its responsibilities. An overall review of risk is inherent in the Board of Director’s consideration of our long- and short-term strategies, acquisitions and significant financial matters. The Audit Committee oversees financial risks (including risks associated with accounting and financial reporting), legal and compliance risks and other risk management functions.</w:t>
      </w:r>
    </w:p>
    <w:p>
      <w:pPr>
        <w:sectPr>
          <w:pgSz w:w="11900" w:h="16838" w:orient="portrait"/>
          <w:cols w:equalWidth="0" w:num="1">
            <w:col w:w="11000"/>
          </w:cols>
          <w:pgMar w:left="440" w:top="270" w:right="4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RELATIONSHIPS AND RELATED TRANSACTIONS</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the review and approval of “related party transactions” between us and our directors, executive officers, Capital Maritime and its affiliates or other related persons. Under SEC rules, a related person is a director, officer, nominee for director or 5% or greater Shareholder since the beginning of our last fiscal year and their immediate family members. Certain related party transactions are referred to the Conflict Committee. See “Corporate Governance—Meetings and Committees of the Board of Directors.” Pursuant to our Articles of Incorporation, the Board of Directors may also refer the approval of related party transactions to another committee of the Board of Directors comprised solely of independent directors. See also “—Certain Shareholder Relationships”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Agreements with Capital-Executive Ship Management Corp. and Capital Gas Ship Management Corp.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floating fee (or fixed fee in case a vessel in our fleet is employed under a bareboat charter) management agreements with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Ship Management Corp. (“</w:t>
      </w:r>
      <w:r>
        <w:rPr>
          <w:rFonts w:ascii="Times New Roman" w:cs="Times New Roman" w:eastAsia="Times New Roman" w:hAnsi="Times New Roman"/>
          <w:sz w:val="18"/>
          <w:szCs w:val="18"/>
          <w:i w:val="1"/>
          <w:iCs w:val="1"/>
          <w:color w:val="auto"/>
        </w:rPr>
        <w:t>Capital-Executive</w:t>
      </w:r>
      <w:r>
        <w:rPr>
          <w:rFonts w:ascii="Times New Roman" w:cs="Times New Roman" w:eastAsia="Times New Roman" w:hAnsi="Times New Roman"/>
          <w:sz w:val="18"/>
          <w:szCs w:val="18"/>
          <w:color w:val="auto"/>
        </w:rPr>
        <w:t>”) with respect to our container vessels and with Capital Gas Ship Management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Capital-Gas Management</w:t>
      </w:r>
      <w:r>
        <w:rPr>
          <w:rFonts w:ascii="Times New Roman" w:cs="Times New Roman" w:eastAsia="Times New Roman" w:hAnsi="Times New Roman"/>
          <w:sz w:val="18"/>
          <w:szCs w:val="18"/>
          <w:color w:val="auto"/>
        </w:rPr>
        <w:t>”, and together with Capital-Executive, the “</w:t>
      </w:r>
      <w:r>
        <w:rPr>
          <w:rFonts w:ascii="Times New Roman" w:cs="Times New Roman" w:eastAsia="Times New Roman" w:hAnsi="Times New Roman"/>
          <w:sz w:val="18"/>
          <w:szCs w:val="18"/>
          <w:i w:val="1"/>
          <w:iCs w:val="1"/>
          <w:color w:val="auto"/>
        </w:rPr>
        <w:t>Managers</w:t>
      </w:r>
      <w:r>
        <w:rPr>
          <w:rFonts w:ascii="Times New Roman" w:cs="Times New Roman" w:eastAsia="Times New Roman" w:hAnsi="Times New Roman"/>
          <w:sz w:val="18"/>
          <w:szCs w:val="18"/>
          <w:color w:val="auto"/>
        </w:rPr>
        <w:t>”) with respect to our LNG/Cs and other vessels. Each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and Capital-Gas Management is a privately held company ultimately controlled by Mr. Miltiadis E. Marinakis.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our management agreements with Capital-Executive and Capital-Gas Management:</w:t>
      </w:r>
    </w:p>
    <w:p>
      <w:pPr>
        <w:spacing w:after="0" w:line="131" w:lineRule="exact"/>
        <w:rPr>
          <w:sz w:val="20"/>
          <w:szCs w:val="20"/>
          <w:color w:val="auto"/>
        </w:rPr>
      </w:pPr>
    </w:p>
    <w:p>
      <w:pPr>
        <w:ind w:left="960" w:right="1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our Managers a daily technical management fee per vessel, which is revised annually based on the United States Consumer Price Index;</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bear all costs and expenses associated with a vessel’s drydocking.</w:t>
      </w:r>
    </w:p>
    <w:p>
      <w:pPr>
        <w:spacing w:after="0" w:line="225"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management fees under the management agreements amounted to $9.6 million, $6.8 million and $5.3 million, respectively. We expect that vessels acquired in the future will be managed under similar floating fee management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Supervision Services Agreements with Capital-Gas Management</w:t>
      </w:r>
    </w:p>
    <w:p>
      <w:pPr>
        <w:spacing w:after="0" w:line="121"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We have supervision services agreements with Capital-Gas Management and each of the vessel-owning companies of the vessels currently under construction, in order to supervise the performance of the design, building, equipment, completion and delivery by the shipyard of the respective vessels.</w:t>
      </w:r>
    </w:p>
    <w:p>
      <w:pPr>
        <w:spacing w:after="0" w:line="14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supervision fees under the supervision services agreements amounted to $3.4 million, nil and nil,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Entered Into During the Year Ended December 31, 2024</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Conversion and Name Change</w:t>
      </w:r>
    </w:p>
    <w:p>
      <w:pPr>
        <w:spacing w:after="0" w:line="11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the Effective Date, the Partnership completed its conversion from a Marshall Islands limited partnership to a Marshall Islands corporation in accordance with a Plan of Conversion pursuant to which, among other things:</w:t>
      </w:r>
    </w:p>
    <w:p>
      <w:pPr>
        <w:spacing w:after="0" w:line="67" w:lineRule="exact"/>
        <w:rPr>
          <w:sz w:val="20"/>
          <w:szCs w:val="20"/>
          <w:color w:val="auto"/>
        </w:rPr>
      </w:pPr>
    </w:p>
    <w:p>
      <w:pPr>
        <w:ind w:left="960" w:right="4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converted from a Marshall Islands limited partnership previously named “Capital Product Partners L.P.” to a Marshall Islands corporation named “Capital Clean Energy Carriers Corp.”;</w:t>
      </w:r>
    </w:p>
    <w:p>
      <w:pPr>
        <w:sectPr>
          <w:pgSz w:w="11900" w:h="16838" w:orient="portrait"/>
          <w:cols w:equalWidth="0" w:num="1">
            <w:col w:w="11000"/>
          </w:cols>
          <w:pgMar w:left="440" w:top="266" w:right="459" w:bottom="1440" w:gutter="0" w:footer="0" w:header="0"/>
        </w:sectPr>
      </w:pPr>
    </w:p>
    <w:bookmarkStart w:id="22" w:name="page23"/>
    <w:bookmarkEnd w:id="22"/>
    <w:p>
      <w:pPr>
        <w:ind w:left="960" w:right="34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common units of the Partnership outstanding as of immediately prior to the Effective Date was converted into one common share, par value $0.01 per share, of the Company; and</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348,570 General Partner units of the Partnership and all of the incentive distribution rights of the Partnership, in each case, outstanding as of immediately prior to the Effective Date, were converted into an aggregate of 3,500,000 common shares.</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As of August 7, 2025, Capital Maritime, together with its affiliates CGP LLC and Capital Gas beneficially own approximately 58.7% of the outstanding Common Shares (based on 58,725,267 Common Shares outstanding and excluding 1,221,061 Common Shares held in treasury).</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Conversion and the name change were approved by the Conflicts Committee and our Board of Directors and we obtained unitholder approval for the Conversion and related actions by written consent of Capital Maritime and its affiliates, which hold a majority of our outstanding Common Units, pursuant to Section 13.11 of the Partnership Agreement.</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Vessel acquisitions and Advances for Vessels Under Construction</w:t>
      </w:r>
    </w:p>
    <w:p>
      <w:pPr>
        <w:spacing w:after="0" w:line="11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In 2024, pursuant to the Umbrella Agreement dated as November 13, 2023 among us, Capital Maritime and CGP LLC (the “</w:t>
      </w:r>
      <w:r>
        <w:rPr>
          <w:rFonts w:ascii="Times New Roman" w:cs="Times New Roman" w:eastAsia="Times New Roman" w:hAnsi="Times New Roman"/>
          <w:sz w:val="18"/>
          <w:szCs w:val="18"/>
          <w:i w:val="1"/>
          <w:iCs w:val="1"/>
          <w:color w:val="auto"/>
        </w:rPr>
        <w:t>Umbrella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we acquired from Capital Maritime the shares of the vessel-owning companies of the LNG/C Axios II, the LNG/C Assos, the LNG/C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Aktoras and the LNG/C Apostolos for a total consideration of $1,204.0 million. For the above acquisitions we drew down the amount of $134.8 million from the unsecured seller’s credit in an amount up to $220.0 million issued by Capital Maritime to the Company on November 13, 2023 in connection with the Umbrella Agreement to finance a portion of the purchase price for the vessels to be acquired pursuant to the Umbrella Agreement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On June 3, 2024, we announced an investment in 10 newbuild gas carriers, including four LCO2/multi gas carriers and six LPG-ammonia carriers that we agreed to acquire from Capital Maritime for a total amount of $756.0 million (the “</w:t>
      </w:r>
      <w:r>
        <w:rPr>
          <w:rFonts w:ascii="Times New Roman" w:cs="Times New Roman" w:eastAsia="Times New Roman" w:hAnsi="Times New Roman"/>
          <w:sz w:val="18"/>
          <w:szCs w:val="18"/>
          <w:i w:val="1"/>
          <w:iCs w:val="1"/>
          <w:color w:val="auto"/>
        </w:rPr>
        <w:t>Gas Fleet</w:t>
      </w:r>
      <w:r>
        <w:rPr>
          <w:rFonts w:ascii="Times New Roman" w:cs="Times New Roman" w:eastAsia="Times New Roman" w:hAnsi="Times New Roman"/>
          <w:sz w:val="18"/>
          <w:szCs w:val="18"/>
          <w:color w:val="auto"/>
        </w:rPr>
        <w:t>”), with expected deliveries between the first quarter of 2026 and the third quarter of 2027. The ship building contracts for the Gas Fleet were initially entered into by Capital Maritime. The acquisition/contract prices to be paid by the Company correspond to the actual ship building cost for all vessels in the Gas Fleet except for two HMD LCO2 vessels, which were acquired pursuant to the rights of first refusal agreed under the Umbrella Agreement. The vessels in the Gas Fleet were ordered by Capital Maritime in July 2023 and were acquired by the Company at the same cost that the last two HMD LCO2 vessels were contracted for in January 2024. On June 17, 2024, and upon entry into 10 separate share purchase agreements with Capital Maritime, we paid to Capital Maritime $74.7 million to acquire 100% of the equity interests in each of the vessel-owning companies of the Gas Fleet, representing advances made to the shipyards by Capital Maritime under certain of the ship building contracts and a premium of $11.5 million. In addition to $162.1 million that we have paid to-date, we expect to pay an additional amount of $582.3 million to the shipyards in pre-delivery and delivery installments for the Gas Fleet.</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Seller’s Credit</w:t>
      </w:r>
    </w:p>
    <w:p>
      <w:pPr>
        <w:spacing w:after="0" w:line="119"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On January 2, 2024, upon the delivery of the LNG/C Axios II, we utilized $92.6 million under the Seller’s Credit. On February 28, March 11 and April 24, 2024, after the deliveries of the M/V Long Beach Express, the M/V Akadimos and the M/V Athenian, to their new owners, we repaid the amounts outstanding under the Seller’s Credit of $12.8 million, $40.0 million and $39.8 million, respectively, leaving the remaining unutilized amount at $127.4 million. Following the sales of the M/V Athos (April 22, 2024), the M/V Seattle Express (April 26, 2024), the M/V Aristomenis (May 3, 2024) and the M/V Fos Express (May 3, 2024), the unutilized amount under the Seller’s Credit was automatically reduced by $85.2 million to $42.2 million. On June 5 and June 28, 2024, upon the deliveries of the LNG/C Aktoras and the LNG/C Apostolos, we utilized the remaining unutilized amount of $42.2 million, which we subsequently repaid in full on November 26, 2024, following the delivery of the M/V Hyundai Premium to its new owner.</w:t>
      </w:r>
    </w:p>
    <w:p>
      <w:pPr>
        <w:sectPr>
          <w:pgSz w:w="11900" w:h="16838" w:orient="portrait"/>
          <w:cols w:equalWidth="0" w:num="1">
            <w:col w:w="11020"/>
          </w:cols>
          <w:pgMar w:left="440" w:top="270" w:right="4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Agreements with Capital-Gas Management</w:t>
      </w:r>
    </w:p>
    <w:p>
      <w:pPr>
        <w:spacing w:after="0" w:line="11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Upon delivery, the LNG/C Axios II, the LNG/C Assos and the LNG/C Apostolos, entered into a floating fee management agreement and the LNG/C Aktoras entered into a fixed fee management agreement, in each case, with Capital-Gas Management.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Supervision services agreements with Capital-Gas Management</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June 17, 2024 each of the vessel-owning companies of the 10 newbuild gas carriers comprising the Gas Fleet, each of which is currently under construction, entered into separate supervision services agreements with Capital-Gas Management in order to supervise the performance of the design, building, equipment, completion and delivery by the shipyard of the respective vessels.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Related-Party Transactions Entered Into After December 31, 2024</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Conversion, on August 26, 2024, we entered into the Shareholders’ Agreement with the Capital Parties, setting forth certain governance matters with respect to the Company. Pursuant to the Shareholders’ Agreement, in connection with each annual meeting of Shareholders, until the date on which Capital Maritime and its affiliates cease to own at least 25% of the outstanding Common Shares, Capital Maritime and its affiliates will have the right to designate three individuals for nomination to the Board of Directors, who shall be reasonably acceptable to the Nominating Committee. If the holdings of Capital Maritime and its affiliates fall below 25% but remain above 15% of the outstanding Common Shares, Capital Maritime and its affiliates thereafter will have the right to so designate two individuals. If the holdings of Capital Maritime and its affiliates fall below 15% but remain above 5% of the outstanding Common Shares, Capital Maritime and its affiliates thereafter will have the right to so designate one individual. If the holdings of Capital Maritime and its affiliates fall below 5%, Capital Maritime thereafter will no longer have any rights to designate individuals for nomination. For so long as Capital Maritime and its affiliates have the right to designate for nomination to the Board of Directors at least one individual pursuant to the Shareholders’ Agreement, we are required to include, and cause the Nominating Committee to include, any such individual in the slate of nominees recommended by the Nominating Committee to holders of Common Shares for election to the Board of Directors. The remaining nominees for election to the Board of Directors are nominated by the Nominating Committee.</w:t>
      </w:r>
    </w:p>
    <w:p>
      <w:pPr>
        <w:spacing w:after="0" w:line="19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In addition, for so long as Capital Maritime and its affiliates have the right to nominate at least one director pursuant to the Shareholders’ Agreement, Capital Maritime and its affiliates shall not designate individuals for nomination to the Board of Directors (nor participate in nominating, nor encourage any other person to recommend or propose for nomination, any individuals to the Board of Directors) other than pursuant to its nomination rights under the Shareholders’ Agreement or otherwise with the approval of the Nominating Committee.</w:t>
      </w:r>
    </w:p>
    <w:p>
      <w:pPr>
        <w:sectPr>
          <w:pgSz w:w="11900" w:h="16838" w:orient="portrait"/>
          <w:cols w:equalWidth="0" w:num="1">
            <w:col w:w="11000"/>
          </w:cols>
          <w:pgMar w:left="440" w:top="268"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Conversion, on August 26, 2024, we entered into a Registration Rights Agreement with the Capital Parties, Paparebecorp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a Cyprus limited liability company (“</w:t>
      </w:r>
      <w:r>
        <w:rPr>
          <w:rFonts w:ascii="Times New Roman" w:cs="Times New Roman" w:eastAsia="Times New Roman" w:hAnsi="Times New Roman"/>
          <w:sz w:val="18"/>
          <w:szCs w:val="18"/>
          <w:i w:val="1"/>
          <w:iCs w:val="1"/>
          <w:color w:val="auto"/>
        </w:rPr>
        <w:t>Paparebecorp</w:t>
      </w:r>
      <w:r>
        <w:rPr>
          <w:rFonts w:ascii="Times New Roman" w:cs="Times New Roman" w:eastAsia="Times New Roman" w:hAnsi="Times New Roman"/>
          <w:sz w:val="18"/>
          <w:szCs w:val="18"/>
          <w:color w:val="auto"/>
        </w:rPr>
        <w:t>”) and Ascetico Limited, a Cyprus limited liability company (together with Paparebecorp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Affiliates, the “</w:t>
      </w:r>
      <w:r>
        <w:rPr>
          <w:rFonts w:ascii="Times New Roman" w:cs="Times New Roman" w:eastAsia="Times New Roman" w:hAnsi="Times New Roman"/>
          <w:sz w:val="18"/>
          <w:szCs w:val="18"/>
          <w:i w:val="1"/>
          <w:iCs w:val="1"/>
          <w:color w:val="auto"/>
        </w:rPr>
        <w:t>Yoda Parties</w:t>
      </w:r>
      <w:r>
        <w:rPr>
          <w:rFonts w:ascii="Times New Roman" w:cs="Times New Roman" w:eastAsia="Times New Roman" w:hAnsi="Times New Roman"/>
          <w:sz w:val="18"/>
          <w:szCs w:val="18"/>
          <w:color w:val="auto"/>
        </w:rPr>
        <w:t>”), providing them with certain registration rights with respect to the Common Shares (the “</w:t>
      </w:r>
      <w:r>
        <w:rPr>
          <w:rFonts w:ascii="Times New Roman" w:cs="Times New Roman" w:eastAsia="Times New Roman" w:hAnsi="Times New Roman"/>
          <w:sz w:val="18"/>
          <w:szCs w:val="18"/>
          <w:i w:val="1"/>
          <w:iCs w:val="1"/>
          <w:color w:val="auto"/>
        </w:rPr>
        <w:t>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the Registration Rights Agreement, if any of the Capital Parties and/or the Yoda Parties desire to sell Common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144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another exemption from registration is not available to enable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dispose of the number of securities it desires to sell at the time it desires to do so without registration under the Securities Act (such securities,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then, at the request of Capital Maritime, the Company shall file a “Shelf Registration Statement” pursuant to and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Rights Agreement, with the SEC as promptly as practicable after receiving such request, and will use its reasonable best efforts to 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to become effective and remain continuously effective and in compliance with the Securities Act and useable for the resale of Registrable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such time as there are no Registrable Securities remaining, including by filing successive replacement or renewal Shelf Registration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expiration of such Shelf Registration Statement. Any holder of Registrable Securities (a “</w:t>
      </w:r>
      <w:r>
        <w:rPr>
          <w:rFonts w:ascii="Times New Roman" w:cs="Times New Roman" w:eastAsia="Times New Roman" w:hAnsi="Times New Roman"/>
          <w:sz w:val="17"/>
          <w:szCs w:val="17"/>
          <w:i w:val="1"/>
          <w:iCs w:val="1"/>
          <w:color w:val="auto"/>
        </w:rPr>
        <w:t>Holder</w:t>
      </w:r>
      <w:r>
        <w:rPr>
          <w:rFonts w:ascii="Times New Roman" w:cs="Times New Roman" w:eastAsia="Times New Roman" w:hAnsi="Times New Roman"/>
          <w:sz w:val="17"/>
          <w:szCs w:val="17"/>
          <w:color w:val="auto"/>
        </w:rPr>
        <w:t>”) may request that it be included in such Shelf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as a selling securityholder with respect to any Registrable Securities then held by it, subject to the provisions of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 At any time during which a Shelf Registration Statement is not in effect and the Company is not then in the process of preparing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with the SEC a Shelf Registration Statement or an amendment or supplement to a Shelf Registration Statement necessary so that such Shelf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continues to be in effect in compliance with the Securities Act, any Holder may request to sell all or part of its Registrable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pursuant to a registration statement separate from a Shelf Registration Statement.</w:t>
      </w:r>
    </w:p>
    <w:p>
      <w:pPr>
        <w:spacing w:after="0" w:line="20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Capital Parties, together with any direct or indirect transferee, shall be entitled to demand up to four underwritten offerings pursuant to the Registration Rights Agreement and the Yoda Parties shall be entitled to demand one underwritten registration.</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the Company at any time proposes to file a registration statement under the Securities Act for an offering of securities for cash (other than an offering relating solely to an employee benefit plan), the Company will use all reasonable best efforts to include such number or amount of Registrable Securities held by any Holder in such registration statement as the Holder shall request, subject to customary cut back provisions.</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If the Conflicts Committee determines in good faith that the requested registration would be materially detrimental to the Company because such registration would (i) materially interfere in a way materially adverse to the Company with a significant acquisition, merger, disposition,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applicable securities laws, then the Company shall have the right to postpone such requested registration for a period of not more than 90 days, such right not to be utilized more than twice in any 12-month period.</w:t>
      </w:r>
    </w:p>
    <w:p>
      <w:pPr>
        <w:spacing w:after="0" w:line="18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All costs and expenses of any such registration and offering (other than the underwriting discounts and commissions) shall be paid by the Company without reimbursement by the Holder. The Company also agreed to indemnify each Holder, its officers, directors and each person who controls the Holder for any claims based upon, arising out of or resulting from any untrue statement or alleged untrue statement of any material fact in connection with any registration pursuant to the Registration Rights Agreement.</w:t>
      </w:r>
    </w:p>
    <w:p>
      <w:pPr>
        <w:sectPr>
          <w:pgSz w:w="11900" w:h="16838" w:orient="portrait"/>
          <w:cols w:equalWidth="0" w:num="1">
            <w:col w:w="11000"/>
          </w:cols>
          <w:pgMar w:left="440" w:top="266"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Services Agreements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August 26, 2024, we entered into an Executive Services Agreement with CGP LLC, pursuant to which CGP LLC and its affiliates provide certain executive, investor relations and corporate support services to the Company (the “</w:t>
      </w:r>
      <w:r>
        <w:rPr>
          <w:rFonts w:ascii="Times New Roman" w:cs="Times New Roman" w:eastAsia="Times New Roman" w:hAnsi="Times New Roman"/>
          <w:sz w:val="18"/>
          <w:szCs w:val="18"/>
          <w:i w:val="1"/>
          <w:iCs w:val="1"/>
          <w:color w:val="auto"/>
        </w:rPr>
        <w:t>Executive Services Agreement</w:t>
      </w:r>
      <w:r>
        <w:rPr>
          <w:rFonts w:ascii="Times New Roman" w:cs="Times New Roman" w:eastAsia="Times New Roman" w:hAnsi="Times New Roman"/>
          <w:sz w:val="18"/>
          <w:szCs w:val="18"/>
          <w:color w:val="auto"/>
        </w:rPr>
        <w:t>”). The Executive Services Agreement replaced the executive services agreement, dated October 1, 2022, with CGP LLC (the “</w:t>
      </w:r>
      <w:r>
        <w:rPr>
          <w:rFonts w:ascii="Times New Roman" w:cs="Times New Roman" w:eastAsia="Times New Roman" w:hAnsi="Times New Roman"/>
          <w:sz w:val="18"/>
          <w:szCs w:val="18"/>
          <w:i w:val="1"/>
          <w:iCs w:val="1"/>
          <w:color w:val="auto"/>
        </w:rPr>
        <w:t>Partnership Executive Services Agreement</w:t>
      </w:r>
      <w:r>
        <w:rPr>
          <w:rFonts w:ascii="Times New Roman" w:cs="Times New Roman" w:eastAsia="Times New Roman" w:hAnsi="Times New Roman"/>
          <w:sz w:val="18"/>
          <w:szCs w:val="18"/>
          <w:color w:val="auto"/>
        </w:rPr>
        <w:t>”). Pursuant to the Executive Services Agreement, CGP LLC and its affiliates provide certain executive, investor relations and corporate support services to the Company. In consideration for CGP LLC and its affiliates providing such services, the Company shall pay to CGP LLC a fixed amount of</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$3.5 million per annum. During the term of the Executive Services Agreement, the officers and consultants appointed by CGP LLC and its affiliates are eligible to participate in all benefit programs as are from time to time made generally available to senior executives by the Company. In addition, if any officer and consultant appointed by CGP LLC or its affiliates resigns under the relevant provisions of their employment and consultancy agreement with CGP LLC or its affiliates due to a “Change of Control” as defined in the Executive Services Agreement, the Company will pay any compensation provided in such employment and consultancy agreement. The Company has also agreed to indemnify CGP LLC, its affiliates and its or their employees, shareholders, directors, consultants and agents against all actions, proceedings, claims, demands or liabilities which may be brought against them due to the Executive Services Agreement other than those which may be caused by or due to the fraud, gross negligence or willful misconduct of CGP LLC, its affiliates or its or their employees, shareholders, directors, consultants and agents.</w:t>
      </w:r>
    </w:p>
    <w:p>
      <w:pPr>
        <w:spacing w:after="0" w:line="19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Under the Partnership Executive Services Agreement, the General Partner provided certain executive officers services for the management of our business as well as investor relations and corporate support services to the Partnership, for a fee of $3.5 million per annum.</w:t>
      </w:r>
    </w:p>
    <w:p>
      <w:pPr>
        <w:spacing w:after="0" w:line="162"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paid CGP LLC $2.8 million pursuant to the Executive Services Agreement and the Partnership Executive Services Agreement. For the years ended December 31, 2023 and 2022, we paid CGP LLC $2.4 million and $2.1 million, respectively, pursuant to the Partnership Executive Services Agreement. Such fees are included in “General and administrative expenses” in our consolidated statements of comprehensive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119"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On April 4, 2007, we entered into an administrative services agreement with Capital Ship Management Corp. (“</w:t>
      </w:r>
      <w:r>
        <w:rPr>
          <w:rFonts w:ascii="Times New Roman" w:cs="Times New Roman" w:eastAsia="Times New Roman" w:hAnsi="Times New Roman"/>
          <w:sz w:val="18"/>
          <w:szCs w:val="18"/>
          <w:i w:val="1"/>
          <w:iCs w:val="1"/>
          <w:color w:val="auto"/>
        </w:rPr>
        <w:t>Capital Ship Management</w:t>
      </w:r>
      <w:r>
        <w:rPr>
          <w:rFonts w:ascii="Times New Roman" w:cs="Times New Roman" w:eastAsia="Times New Roman" w:hAnsi="Times New Roman"/>
          <w:sz w:val="18"/>
          <w:szCs w:val="18"/>
          <w:color w:val="auto"/>
        </w:rPr>
        <w:t>”), pursuant to which Capital Ship Management agreed to provide certain administrative management services to us, such as accounting, auditing, legal, insurance, clerical and other administrative services. On the same date, we entered into an IT services agreement with Capital Ship Management pursuant to which Capital Ship Management provides IT management services to us. In addition, we reimburse Capital Ship Management and for reasonable and duly documented costs and expenses incurred in connection with the provision of these services, amounting to $0.1 million in 2024. 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Shareholder Relationships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w:t>
      </w:r>
      <w:r>
        <w:rPr>
          <w:rFonts w:ascii="Times New Roman" w:cs="Times New Roman" w:eastAsia="Times New Roman" w:hAnsi="Times New Roman"/>
          <w:sz w:val="18"/>
          <w:szCs w:val="18"/>
          <w:i w:val="1"/>
          <w:iCs w:val="1"/>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w:t>
      </w:r>
      <w:r>
        <w:rPr>
          <w:rFonts w:ascii="Times New Roman" w:cs="Times New Roman" w:eastAsia="Times New Roman" w:hAnsi="Times New Roman"/>
          <w:sz w:val="18"/>
          <w:szCs w:val="18"/>
          <w:color w:val="auto"/>
        </w:rPr>
        <w:t>”) and us or our affiliates. No Identified Person has any duty to refrain from directly or indirectly (a) engaging in the same or similar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or lines of business in which we or our affiliates engage or propose to engage, or (b) otherwise competing with us or our affiliates, and, to the fullest extent permitted by law, no Identified Person shall be liable to us or our shareholders or to any of our affiliates for breach of any fiduciary duty solely because such Identified Person engages in any such activities. In the event that any Identified Person acquires knowledge of a potential transaction or other</w:t>
      </w:r>
    </w:p>
    <w:p>
      <w:pPr>
        <w:sectPr>
          <w:pgSz w:w="11900" w:h="16838" w:orient="portrait"/>
          <w:cols w:equalWidth="0" w:num="1">
            <w:col w:w="10980"/>
          </w:cols>
          <w:pgMar w:left="440" w:top="266" w:right="479" w:bottom="1440" w:gutter="0" w:footer="0" w:header="0"/>
        </w:sectPr>
      </w:pPr>
    </w:p>
    <w:bookmarkStart w:id="26" w:name="page27"/>
    <w:bookmarkEnd w:id="2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opportunity which may be a corporate opportunity for such Identified Person and us or our affiliates, such Identified Person, to the fullest extent permitted by law, has no duty to communicate or offer such transaction or business opportunity to us or our affiliates and, to the fullest extent permitted by law, shall not be liable to us or our shareholders or to any of our affiliates for breach of any fiduciary duty as a shareholder, director or officer of ours because such Identified Person pursues or acquires such corporate opportunity for themselves, or offers or directs such corporate opportunity to another person.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Section 3.7 of the Umbrella Agreement.</w:t>
      </w:r>
    </w:p>
    <w:p>
      <w:pPr>
        <w:spacing w:after="0" w:line="188" w:lineRule="exact"/>
        <w:rPr>
          <w:sz w:val="20"/>
          <w:szCs w:val="20"/>
          <w:color w:val="auto"/>
        </w:rPr>
      </w:pPr>
    </w:p>
    <w:p>
      <w:pPr>
        <w:ind w:left="4" w:right="80" w:firstLine="440"/>
        <w:spacing w:after="0" w:line="267" w:lineRule="auto"/>
        <w:rPr>
          <w:sz w:val="20"/>
          <w:szCs w:val="20"/>
          <w:color w:val="auto"/>
        </w:rPr>
      </w:pPr>
      <w:r>
        <w:rPr>
          <w:rFonts w:ascii="Times New Roman" w:cs="Times New Roman" w:eastAsia="Times New Roman" w:hAnsi="Times New Roman"/>
          <w:sz w:val="17"/>
          <w:szCs w:val="17"/>
          <w:color w:val="auto"/>
        </w:rPr>
        <w:t>The Articles of Incorporation also provide that no contract, agreement, arrangement or transaction entered into between us and/or any of our subsidiaries, on the one hand, and an Identified Person, on the other hand, before the Conversion shall be void or voidable or be considered unfair to us or any of our subsidiaries solely because such Identified Person is a party thereto, or because any directors, officers or employees of such Identified Person were present at or participated in any meeting of the Board of Directors, or a committee thereof, or the board of directors, or committee thereof, of any of our subsidiaries, that authorized the contract, agreement, arrangement or transaction, or because such Identified Person’s votes were counted for such purpose. We and our subsidiaries may from time to time enter into and perform contracts, agreements, arrangements or transactions with an Identified Person. To the fullest extent permitted by law, no such contract, agreement, arrangement or transaction, nor the performance thereof by us or our subsidiaries or an Identified Person, shall be considered contrary to any fiduciary duty owed to us, any of our subsidiaries or to any of our or our subsidiaries’ stockholders by any director or officer so long as such contract, agreement, arrangement or transaction, in addition to any requirements under applicable law, is (i) approved by a majority of the members of a committee of the Board of Directors comprised solely of independent directors,</w:t>
      </w:r>
    </w:p>
    <w:p>
      <w:pPr>
        <w:spacing w:after="0" w:line="4" w:lineRule="exact"/>
        <w:rPr>
          <w:sz w:val="20"/>
          <w:szCs w:val="20"/>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vote of holders of a majority of the outstanding Common Shares (excluding Common Shares owned by the Identified Persons),</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no less favorable to us or our subsidiary, as applicable, than those generally being provided to or available from unrelated third parties or</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to us, taking into account the totality of the relationships between the parties involved.</w:t>
      </w:r>
    </w:p>
    <w:p>
      <w:pPr>
        <w:sectPr>
          <w:pgSz w:w="11900" w:h="16838" w:orient="portrait"/>
          <w:cols w:equalWidth="0" w:num="1">
            <w:col w:w="10964"/>
          </w:cols>
          <w:pgMar w:left="436" w:top="270" w:right="499" w:bottom="1440" w:gutter="0" w:footer="0" w:header="0"/>
        </w:sectPr>
      </w:pPr>
    </w:p>
    <w:bookmarkStart w:id="27" w:name="page28"/>
    <w:bookmarkEnd w:id="27"/>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August 7, 2025 the beneficial ownership of our Common Shares by each person we know beneficially owns more than 5.0% or more of our Common Shares, and all of our directors and executive officers as a group. The number of Common Shares beneficially owned by each person is determined under SEC rules and the information is not necessarily indicative of beneficial ownership for any other purpose. Under SEC rules a person beneficially owns any common shares as to which the person has or shares voting or investment power. The percentages in the following table are based on 58,725,267 Common Shares outstanding (excluding 1,221,061 Common Shares held in treasury).</w:t>
      </w:r>
    </w:p>
    <w:p>
      <w:pPr>
        <w:spacing w:after="0" w:line="192"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 of Total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14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Shares Owned</w:t>
            </w:r>
          </w:p>
        </w:tc>
        <w:tc>
          <w:tcPr>
            <w:tcW w:w="13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20"/>
        </w:trPr>
        <w:tc>
          <w:tcPr>
            <w:tcW w:w="2420" w:type="dxa"/>
            <w:vAlign w:val="bottom"/>
            <w:tcBorders>
              <w:top w:val="single" w:sz="8" w:color="auto"/>
            </w:tcBorders>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 xml:space="preserve">Capital Maritime </w:t>
            </w:r>
            <w:r>
              <w:rPr>
                <w:rFonts w:ascii="Times New Roman" w:cs="Times New Roman" w:eastAsia="Times New Roman" w:hAnsi="Times New Roman"/>
                <w:sz w:val="25"/>
                <w:szCs w:val="25"/>
                <w:b w:val="1"/>
                <w:bCs w:val="1"/>
                <w:color w:val="auto"/>
                <w:vertAlign w:val="superscript"/>
              </w:rPr>
              <w:t>(1)</w:t>
            </w:r>
          </w:p>
        </w:tc>
        <w:tc>
          <w:tcPr>
            <w:tcW w:w="31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28,308,881</w:t>
            </w:r>
          </w:p>
        </w:tc>
        <w:tc>
          <w:tcPr>
            <w:tcW w:w="16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Capital Gas </w:t>
            </w:r>
            <w:r>
              <w:rPr>
                <w:rFonts w:ascii="Times New Roman" w:cs="Times New Roman" w:eastAsia="Times New Roman" w:hAnsi="Times New Roman"/>
                <w:sz w:val="25"/>
                <w:szCs w:val="25"/>
                <w:b w:val="1"/>
                <w:bCs w:val="1"/>
                <w:color w:val="auto"/>
                <w:vertAlign w:val="superscript"/>
              </w:rPr>
              <w:t>(1)</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1,153,846</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CGP LLC </w:t>
            </w:r>
            <w:r>
              <w:rPr>
                <w:rFonts w:ascii="Times New Roman" w:cs="Times New Roman" w:eastAsia="Times New Roman" w:hAnsi="Times New Roman"/>
                <w:sz w:val="25"/>
                <w:szCs w:val="25"/>
                <w:b w:val="1"/>
                <w:bCs w:val="1"/>
                <w:color w:val="auto"/>
                <w:vertAlign w:val="superscript"/>
              </w:rPr>
              <w:t>(1)</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Yoda PLC </w:t>
            </w:r>
            <w:r>
              <w:rPr>
                <w:rFonts w:ascii="Times New Roman" w:cs="Times New Roman" w:eastAsia="Times New Roman" w:hAnsi="Times New Roman"/>
                <w:sz w:val="25"/>
                <w:szCs w:val="25"/>
                <w:b w:val="1"/>
                <w:bCs w:val="1"/>
                <w:color w:val="auto"/>
                <w:vertAlign w:val="superscript"/>
              </w:rPr>
              <w:t>(2)</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16,582,335</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Keith Forman</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Gerasimos (Jerry) Kalogiratos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Nikolaos Kalapotharakos</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Nikolaos Tripodakis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Atsunori Kozuki</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Gurpal Grewal</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Abel Rasterhoff</w:t>
            </w:r>
            <w:r>
              <w:rPr>
                <w:rFonts w:ascii="Times New Roman" w:cs="Times New Roman" w:eastAsia="Times New Roman" w:hAnsi="Times New Roman"/>
                <w:sz w:val="25"/>
                <w:szCs w:val="25"/>
                <w:b w:val="1"/>
                <w:bCs w:val="1"/>
                <w:color w:val="auto"/>
                <w:vertAlign w:val="superscript"/>
              </w:rPr>
              <w:t>(3)</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Eleni Tsoukala</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Dimitris P. Christacopoulos</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Rory Hussey</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Martin Houston</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(eleven persons)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Common Shares.</w:t>
      </w:r>
    </w:p>
    <w:p>
      <w:pPr>
        <w:spacing w:after="0" w:line="27" w:lineRule="exact"/>
        <w:rPr>
          <w:sz w:val="20"/>
          <w:szCs w:val="20"/>
          <w:color w:val="auto"/>
        </w:rPr>
      </w:pPr>
    </w:p>
    <w:p>
      <w:pPr>
        <w:ind w:left="424" w:right="80" w:hanging="424"/>
        <w:spacing w:after="0" w:line="25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Marinakis family, including Evangelos M. Marinakis, our former chairman, through its ownership of Capital Maritime may be deemed to beneficially own, or to have beneficially owned, all of our Common Shares held by Capital Maritime. The Marinakis family, including Miltiadis E. Marinakis, through its ownership of 100% of Capital Gas and CGP LLC, may be deemed to beneficially own all of our Common Shares held by Capital Gas and CGP LLC.</w:t>
      </w:r>
    </w:p>
    <w:p>
      <w:pPr>
        <w:spacing w:after="0" w:line="1"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a Schedule 13D filed on January 3, 2024 by Yoda PLC (“Yoda”) and Ioannis Papalekas, as amended and supplemented on January 9, 2024, January 22, 2024, January 30, 2024, February 26, 2024, September 11, 2024, May 22, 2025, July 22, 2025 and July 30, 2025. According to the Schedule 13D, Mr. Papalekas is the controlling shareholder of Yoda and as such may be deemed to beneficially own the Common Shares held by Yoda or its wholly-owned subsidiaries Paparebecorp Limited and Ascetico Limited.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Abel Rasterhoff has determined to resign effective upon the commencement of the upcoming Annual Meeting.</w:t>
      </w:r>
    </w:p>
    <w:p>
      <w:pPr>
        <w:spacing w:after="0" w:line="200" w:lineRule="exact"/>
        <w:rPr>
          <w:sz w:val="20"/>
          <w:szCs w:val="20"/>
          <w:color w:val="auto"/>
        </w:rPr>
      </w:pPr>
    </w:p>
    <w:p>
      <w:pPr>
        <w:spacing w:after="0" w:line="21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As a foreign private issuer, Section 16(a) of the Securities Exchange Act of 1934, as amended, does not apply to our executive officers, directors or holders of 10% or more of our Common Shares.</w:t>
      </w:r>
    </w:p>
    <w:p>
      <w:pPr>
        <w:sectPr>
          <w:pgSz w:w="11900" w:h="16838" w:orient="portrait"/>
          <w:cols w:equalWidth="0" w:num="1">
            <w:col w:w="10904"/>
          </w:cols>
          <w:pgMar w:left="436" w:top="266" w:right="5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OF MANAGEMENT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of our Chief Executive Officer and Chief Financial Officer is set and paid by CGP LLC. We reimburse CGP LLC for certain costs and related expenses pursuant to the Executive Services Agreement. Prior to the Conversion, the compensation of the General Partner’s Chief Executive Officer, Chief Financial Officer and Chief Commercial Officer was set and paid by CGP LLC as General Partner, and we reimbursed the General Partner for certain costs and related expenses under the Partnership Executive Services Agreement. We do not have a retirement plan for our executive officers or directors. Officers, employees and affiliates of CGP LLC who provide services to us pursuant to the Executive Services Agreement may participate in employee benefit plans and arrangements sponsored by Capital Maritime, CGP LLC or their affiliates, including plans that may be established in the future.</w:t>
      </w:r>
    </w:p>
    <w:p>
      <w:pPr>
        <w:spacing w:after="0" w:line="187"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On April 29, 2008, the board of directors adopted an Omnibus Incentive Compensation Plan (the “</w:t>
      </w:r>
      <w:r>
        <w:rPr>
          <w:rFonts w:ascii="Times New Roman" w:cs="Times New Roman" w:eastAsia="Times New Roman" w:hAnsi="Times New Roman"/>
          <w:sz w:val="18"/>
          <w:szCs w:val="18"/>
          <w:i w:val="1"/>
          <w:iCs w:val="1"/>
          <w:color w:val="auto"/>
        </w:rPr>
        <w:t>Omnibus Plan</w:t>
      </w:r>
      <w:r>
        <w:rPr>
          <w:rFonts w:ascii="Times New Roman" w:cs="Times New Roman" w:eastAsia="Times New Roman" w:hAnsi="Times New Roman"/>
          <w:sz w:val="18"/>
          <w:szCs w:val="18"/>
          <w:color w:val="auto"/>
        </w:rPr>
        <w:t>”), according to which we were entitled to issue a limited number of awards to employees, consultants, officers, directors or affiliates, including the employees, consultants, officers or directors of the General Partner, Capital Ship Management, Capital Maritime and certain key affiliates and other eligible persons. The Omnibus Plan contemplated awards in the form of incentive stock options, non-qualified stock options, stock appreciation rights, dividend equivalent rights, restricted stock, unrestricted stock, restricted stock units and performance units. The Omnibus Plan was administered by the General Partner as authorized by the board of directors and was amended from time to time.</w:t>
      </w:r>
    </w:p>
    <w:p>
      <w:pPr>
        <w:spacing w:after="0" w:line="18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July 2019, the board of directors adopted an amended and restated Omnibus Plan, so as to reserve for issuance a maximum number of 740,000 restricted common units. On the same day, the Partnership awarded 445,000 unvested units to employees and non-employees. Awards vested in three equal installments ending on December 31, 2021. All awards under the amended Omnibus Plan were conditional upon the grantee’s continued service until the applicable vesting date.</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In January 2022, the board of directors adopted an amended and restated Omnibus Plan, so as to reserve for issuance a maximum number of 750,000 restricted common units. On March 18, 2022, the Partnership awarded 743,800 unvested units. Awards granted to beneficiaries would vest in three equal installments. One third of the units awarded (247,933 units) vested on December 31, 2022 and another third (247,933 units) vested on December 31, 2023. On December 30, 2022, the Partnership awarded 1,969 unvested units. The units were fully vested on December 31, 2022.</w:t>
      </w:r>
    </w:p>
    <w:p>
      <w:pPr>
        <w:spacing w:after="0" w:line="180"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In January 2024, the board of directors adopted an amended and restated Omnibus Plan and reserved for issuance a maximum number of 3,300,000 restricted Common Units. On January 25, 2024, 1,100,000 Common Units of the 3,300,000 restricted Common Units were issued. On January 1, 2025, the Company awarded 1,050,000 unvested shares. Awards granted to beneficiaries would vest in three equal installments.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the Effective Date, in connection with the Conversion, the Board of Directors adopted an amended and restated Omnibus Plan and reserved for issuance a maximum number of 3,300,000 restricted Common Shares. Any awards granted under the Omnibus Plan prior to the Conversion are deemed to refer to Common Shares instead of Common Units and are counted against the aggregate number of Common Shares available for awards under the amended and restated Omnibus Plan. The amended and restated Omnibus Plan is administered by the Board of Directors or such committee of the Board of Directors as may be designated by the Board of Directors from time to time. Subject to compliance with applicable law, the Board of Directors (or a committee thereof) may allocate among its members and delegate to any person who is not director, including CGP LLC, or to any administrative group within the Company, any of its power, responsibilities or duties under the amended and restated Omnibus Plan. The Board</w:t>
      </w:r>
    </w:p>
    <w:p>
      <w:pPr>
        <w:sectPr>
          <w:pgSz w:w="11900" w:h="16838" w:orient="portrait"/>
          <w:cols w:equalWidth="0" w:num="1">
            <w:col w:w="11000"/>
          </w:cols>
          <w:pgMar w:left="440" w:top="266" w:right="459" w:bottom="1440" w:gutter="0" w:footer="0" w:header="0"/>
        </w:sectPr>
      </w:pPr>
    </w:p>
    <w:bookmarkStart w:id="29" w:name="page30"/>
    <w:bookmarkEnd w:id="2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Directors has sole and plenary authority to (i) approve the aggregate number and type of awards which will be available from time to time for grants to participants under the amended and restated Omnibus Plan and (ii) determine the number and type or types of awards to be granted to directors and make all other award determinations with respect to directors under the amended and restated Omnibus Plan. As of August 7, 2025, the total number of restricted Common Shares remaining available under the amended and restated Omnibus Plan was 2,200,000.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Our directors receive compensation for their services as directors, as well as for serving in the role of committee chair, and have also received restricted Common Units, all of which have now vested. For the year ended December 31, 2024, our directors, including our chairman, received an aggregate amount of $0.6 million in cash.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Prior to the conversion, we did not employ our own management. Instead, the officers of the General Partner acted on our behalf, as agents of the Partnership. Following the Conversion, our executive officers are paid for their services as our officers pursuant to the Executive Services Agreement with CGP LLC. Officers, employees and affiliates of CGP LLC who provide services to us pursuant to the Executive Services Agreement may participate in employee benefit plans and arrangements sponsored by Capital Maritime, CGP LLC or their affiliates, including plans that may be established in the future. If any officer and consultant appointed by CGP LLC or its affiliates resigns under the relevant provisions of their employment and consultancy agreement with CGP LLC or its affiliates due to a “Change of Control” as defined in the Executive Services Agreement, the Company will pay any compensation provided in such employment and consultancy agreement. See above “Certain Relationships and Related Transactions— Other Transactions—Executive Services Agreements” for additional information. In determining the amount to be paid to CGP LLC under the Executive Services Agreement, our Board of Directors considered the costs incurred and expected to be incurred by CGP LLC in providing the services within industry standards. For the year ended December 31, 2024, we paid CGP LLC $2.8 million pursuant to the Executive Services Agreement and the Partnership Executive Services Agreement as compensation for services related to the management of our business and affairs, including the appointment and performance of relevant duties of the chief executive officer, chief finance officer, and a number of additional officers. For the years ended December 31, 2023 and 2022, we paid CGP LLC $2.4 million and $2.1 million, respectively, pursuant to the Partnership Executive Services Agreement as compensation for services related to the management of our business and affairs, including the appointment and performance of relevant duties of the chief executive officer, chief finance officer, and a number of additional officers.</w:t>
      </w:r>
    </w:p>
    <w:p>
      <w:pPr>
        <w:spacing w:after="0" w:line="19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From time to time, the Board of Directors may also consider the appropriateness of granting to our directors, officers, employees or consultants, CGP LLC or other service provider to us or any of their affiliates, in respect of services performed, directly or indirectly, for our benefit, restricted Common Shares under our amended and restated Omnibus Plan, subject to vesting requirements, in order to align the interest of such persons with those of our Shareholders. In determining the amount of these grants, the Board of Directors may consider the then-current market price of our Common Shares, the aggregate holdings of such recipients and their respective affiliates, the results of our operations for the year, and the contribution of such recipients to our results.</w:t>
      </w:r>
    </w:p>
    <w:p>
      <w:pPr>
        <w:sectPr>
          <w:pgSz w:w="11900" w:h="16838" w:orient="portrait"/>
          <w:cols w:equalWidth="0" w:num="1">
            <w:col w:w="10980"/>
          </w:cols>
          <w:pgMar w:left="440" w:top="270" w:right="479" w:bottom="1440" w:gutter="0" w:footer="0" w:header="0"/>
        </w:sectPr>
      </w:pPr>
    </w:p>
    <w:bookmarkStart w:id="30" w:name="page31"/>
    <w:bookmarkEnd w:id="3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THE AUDIT COMMITTEE OF THE BOARD OF DIRECTORS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audit committee hereby reports as follows:</w:t>
      </w:r>
    </w:p>
    <w:p>
      <w:pPr>
        <w:spacing w:after="0" w:line="256"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financial statements with our management.</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Deloitte Certified Public Accountants S.A., our independent registered public accounting firm, the matters required to be discussed by Statement on Auditing Standards No. 114 (The Auditor’s Communication With Those Charged With Governance), as may be amended or modified.</w:t>
      </w:r>
    </w:p>
    <w:p>
      <w:pPr>
        <w:spacing w:after="0" w:line="81"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Deloitte Certified Public Accountants S.A., required by PCAOB Ethics and Independence Rule 3526 (Communication with Audit Committees Concerning Independence), as may be modified or supplemented, and has discussed with Deloitte Certified Public Accountants S.A. their independence.</w:t>
      </w:r>
    </w:p>
    <w:p>
      <w:pPr>
        <w:spacing w:after="0" w:line="81"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committee recommended to our Board of Directors that the audited financial statements be included in our Annual Report on Form 20-F for the year ended December 31, 2024, for filing with the SEC.</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Keith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Dimitrios Christacopoulos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Rory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/s/Eleni Tsoukala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/s/Abel Rasterhoff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Our principal accountant for 2024 and 2023 was Deloitte Certified Public Accountants S.A. The following table shows the fees we paid or accrued for audit and tax services provided by Deloitte Certified Public Accountants S.A. for these periods (in thousands of U.S. Dollars).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Fees</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0"/>
        </w:trPr>
        <w:tc>
          <w:tcPr>
            <w:tcW w:w="69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4"/>
                <w:szCs w:val="24"/>
                <w:color w:val="auto"/>
                <w:vertAlign w:val="superscript"/>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$402.2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$369.3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5"/>
                <w:szCs w:val="25"/>
                <w:color w:val="auto"/>
                <w:vertAlign w:val="superscript"/>
              </w:rPr>
              <w:t>(2)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$432.1</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$397.0</w:t>
            </w:r>
          </w:p>
        </w:tc>
      </w:tr>
    </w:tbl>
    <w:p>
      <w:pPr>
        <w:spacing w:after="0" w:line="81" w:lineRule="exact"/>
        <w:rPr>
          <w:sz w:val="20"/>
          <w:szCs w:val="20"/>
          <w:color w:val="auto"/>
        </w:rPr>
      </w:pPr>
    </w:p>
    <w:p>
      <w:pPr>
        <w:ind w:left="424" w:right="260" w:hanging="424"/>
        <w:spacing w:after="0" w:line="257"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 and the Athens Stock Exchange.</w:t>
      </w:r>
    </w:p>
    <w:p>
      <w:pPr>
        <w:spacing w:after="0" w:line="1" w:lineRule="exact"/>
        <w:rPr>
          <w:rFonts w:ascii="Times New Roman" w:cs="Times New Roman" w:eastAsia="Times New Roman" w:hAnsi="Times New Roman"/>
          <w:sz w:val="18"/>
          <w:szCs w:val="18"/>
          <w:color w:val="auto"/>
        </w:rPr>
      </w:pPr>
    </w:p>
    <w:p>
      <w:pPr>
        <w:ind w:left="424" w:right="44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 compensation for professional services provided in connection with the public offering and listing on the Athens Stock Exchange of senior unsecured bonds by CPLP Shipping Holdings PLC.</w:t>
      </w:r>
    </w:p>
    <w:p>
      <w:pPr>
        <w:ind w:left="424" w:right="500" w:hanging="424"/>
        <w:spacing w:after="0" w:line="26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fees for professional services provided in connection with various U.S. income tax compliance and information reporting matters.</w:t>
      </w:r>
    </w:p>
    <w:p>
      <w:pPr>
        <w:sectPr>
          <w:pgSz w:w="11900" w:h="16838" w:orient="portrait"/>
          <w:cols w:equalWidth="0" w:num="1">
            <w:col w:w="11004"/>
          </w:cols>
          <w:pgMar w:left="436" w:top="266" w:right="459" w:bottom="1440" w:gutter="0" w:footer="0" w:header="0"/>
        </w:sectPr>
      </w:pPr>
    </w:p>
    <w:bookmarkStart w:id="31" w:name="page32"/>
    <w:bookmarkEnd w:id="3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2024 and 2023.</w:t>
      </w:r>
    </w:p>
    <w:p>
      <w:pPr>
        <w:sectPr>
          <w:pgSz w:w="11900" w:h="16838" w:orient="portrait"/>
          <w:cols w:equalWidth="0" w:num="1">
            <w:col w:w="10920"/>
          </w:cols>
          <w:pgMar w:left="440" w:top="270" w:right="539" w:bottom="1440" w:gutter="0" w:footer="0" w:header="0"/>
        </w:sectPr>
      </w:pPr>
    </w:p>
    <w:bookmarkStart w:id="32" w:name="page33"/>
    <w:bookmarkEnd w:id="32"/>
    <w:p>
      <w:pPr>
        <w:ind w:left="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2: TO RATIFY THE APPOINTMENT OF OUR INDEPENDENT REGISTERED PUBLIC ACCOUNTING FIRM</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has appointed Deloitte Certified Public Accountants S.A. as our independent registered public accounting firm for the fiscal year ending December 31, 2025. Deloitte Certified Public Accountants S.A. audited our consolidated balance sheets as of December 31, 2024 and 2023, and the related consolidated statements of comprehensive income, total shareholders’ equity and cash flows for each of the three years ended December 31, 2024.</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Shareholder approval is not required for the appointment of Deloitte Certified Public Accountants S.A. Nevertheless, the appointment is being submitted for ratification by the Shareholders at the Annual Meeting. No determination has been made, however, as to what action the Board of Directors or the Audit Committee would take if the Shareholders did not ratify this appointment.</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representative of Deloitte Certified Public Accountants S.A. is expected to be present at our Annual Meeting, will have the opportunity to make a statement if he or she desires to do so and will be available to respond to appropriate questions from Shareholders.</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THE PROPOSAL TO RATIFY THE APPOINTMENT OF OUR INDEPENDENT REGISTERED PUBLIC ACCOUNTING FIRM FOR THE FISCAL YEAR ENDING DECEMBER 31, 2025.</w:t>
      </w:r>
    </w:p>
    <w:p>
      <w:pPr>
        <w:sectPr>
          <w:pgSz w:w="11900" w:h="16838" w:orient="portrait"/>
          <w:cols w:equalWidth="0" w:num="1">
            <w:col w:w="10960"/>
          </w:cols>
          <w:pgMar w:left="440" w:top="266" w:right="49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HOUSEHOLDING OF ANNUAL DISCLOSURE DOCUMENTS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Shareholders sharing an address who are receiving multiple copies of our proxy materials, including the Proxy Statement, proxy card and Annual Report, may contact us (or, if they are not Shareholders of record, their broker, bank or other nominee) if in the future they would like only a single copy of each document be mailed to all shareholders at the shared address. In addition, if you are the beneficial owner, but not the record holder, of Common Shares, your broker, bank or other nominee may deliver only one copy of the proxy materials to multiple shareholders who share an address unless that nominee has received contrary instructions from one or more of the shareholders. We will deliver promptly, upon written or oral request, separate copies of the proxy materials to a shareholder at a shared address to which a single copy of the document was delivered. Shareholders who wish to receive separate copies of the proxy materials, now or in the future, should submit their request to us by phone at +30 210 458 4950 or by mail at 3 Iassonos Street, 18537 Piraeus, Greece.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to be brought before the Annual Meeting. If, however, any other business should properly come before the Annual Meeting, the persons named in the accompanying proxy will vote proxies as in their discretion they may deem appropriate, unless they are directed by a proxy to do otherwise.</w:t>
      </w:r>
    </w:p>
    <w:p>
      <w:pPr>
        <w:sectPr>
          <w:pgSz w:w="11900" w:h="16838" w:orient="portrait"/>
          <w:cols w:equalWidth="0" w:num="1">
            <w:col w:w="10980"/>
          </w:cols>
          <w:pgMar w:left="440" w:top="266" w:right="4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CONCERNING PROPOSALS BY SHAREHOLDERS</w:t>
      </w:r>
    </w:p>
    <w:p>
      <w:pPr>
        <w:spacing w:after="0" w:line="229" w:lineRule="exact"/>
        <w:rPr>
          <w:sz w:val="20"/>
          <w:szCs w:val="20"/>
          <w:color w:val="auto"/>
        </w:rPr>
      </w:pPr>
    </w:p>
    <w:p>
      <w:pPr>
        <w:ind w:firstLine="440"/>
        <w:spacing w:after="0" w:line="224" w:lineRule="auto"/>
        <w:rPr>
          <w:sz w:val="20"/>
          <w:szCs w:val="20"/>
          <w:color w:val="auto"/>
        </w:rPr>
      </w:pPr>
      <w:r>
        <w:rPr>
          <w:rFonts w:ascii="Times New Roman" w:cs="Times New Roman" w:eastAsia="Times New Roman" w:hAnsi="Times New Roman"/>
          <w:sz w:val="18"/>
          <w:szCs w:val="18"/>
          <w:color w:val="auto"/>
        </w:rPr>
        <w:t>Pursuant to Section 1.12 of our Bylaws, any Shareholder proposing to nominate persons for election to the Board of Directors or proposing other business to be brought to the Shareholders at the 2026 Annual Meeting must timely deliver notice of such matters in proper written form to the Secretary of the Company and otherwise comply with the requirements of the Bylaws. Any such written notice must be delivered not earlier than May 25, 2026 and not later than June 24, 2026, provided that if the 2026 Annual Meeting is called for a date that is before August 23, 2026 or after November 21, 2026, such notice must be received not earlier than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2026 Annual Meeting and not later than the later of (1)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2026 Annual Meeting and (2) the tenth day following the day on which public disclosure of the date of the 2026 Annual Meeting is first made by the Company.</w:t>
      </w:r>
    </w:p>
    <w:p>
      <w:pPr>
        <w:spacing w:after="0" w:line="2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Director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Piraeus, Greece,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2025</w:t>
      </w:r>
    </w:p>
    <w:p>
      <w:pPr>
        <w:sectPr>
          <w:pgSz w:w="11900" w:h="16838" w:orient="portrait"/>
          <w:cols w:equalWidth="0" w:num="1">
            <w:col w:w="11000"/>
          </w:cols>
          <w:pgMar w:left="440" w:top="266" w:right="459" w:bottom="1440" w:gutter="0" w:footer="0" w:header="0"/>
        </w:sectPr>
      </w:pPr>
    </w:p>
    <w:bookmarkStart w:id="35" w:name="page36"/>
    <w:bookmarkEnd w:id="35"/>
    <w:p>
      <w:pPr>
        <w:ind w:left="9180"/>
        <w:spacing w:after="0"/>
        <w:rPr>
          <w:sz w:val="20"/>
          <w:szCs w:val="20"/>
          <w:color w:val="auto"/>
        </w:rPr>
      </w:pPr>
      <w:r>
        <w:rPr>
          <w:rFonts w:ascii="Times New Roman" w:cs="Times New Roman" w:eastAsia="Times New Roman" w:hAnsi="Times New Roman"/>
          <w:sz w:val="18"/>
          <w:szCs w:val="18"/>
          <w:b w:val="1"/>
          <w:bCs w:val="1"/>
          <w:color w:val="auto"/>
        </w:rPr>
        <w:t>Exhibit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173990</wp:posOffset>
            </wp:positionV>
            <wp:extent cx="5829300" cy="7543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2025-08-08T15:43:59Z</dcterms:created>
  <dcterms:modified xsi:type="dcterms:W3CDTF">2025-08-08T15:43:59Z</dcterms:modified>
</cp:coreProperties>
</file>