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6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15d-16 OF THE SECURITIES EXCHANGE ACT OF 1934</w:t>
      </w:r>
    </w:p>
    <w:p>
      <w:pPr>
        <w:spacing w:after="0" w:line="230"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For the month of April, 2010</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43"/>
          <w:szCs w:val="43"/>
          <w:b w:val="1"/>
          <w:bCs w:val="1"/>
          <w:color w:val="auto"/>
        </w:rPr>
        <w:t>CAPITAL PRODUCT PARTNERS L.P.</w:t>
      </w:r>
    </w:p>
    <w:p>
      <w:pPr>
        <w:spacing w:after="0" w:line="27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243205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spacing w:after="0"/>
        <w:tabs>
          <w:tab w:leader="none" w:pos="1180" w:val="left"/>
          <w:tab w:leader="none" w:pos="2260" w:val="left"/>
          <w:tab w:leader="none" w:pos="34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Times New Roman" w:cs="Times New Roman" w:eastAsia="Times New Roman" w:hAnsi="Times New Roman"/>
          <w:sz w:val="18"/>
          <w:szCs w:val="18"/>
          <w:color w:val="auto"/>
        </w:rPr>
        <w:t>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52" w:lineRule="exact"/>
        <w:rPr>
          <w:sz w:val="24"/>
          <w:szCs w:val="24"/>
          <w:color w:val="auto"/>
        </w:rPr>
      </w:pPr>
    </w:p>
    <w:p>
      <w:pPr>
        <w:spacing w:after="0"/>
        <w:tabs>
          <w:tab w:leader="none" w:pos="740" w:val="left"/>
          <w:tab w:leader="none" w:pos="1320" w:val="left"/>
          <w:tab w:leader="none" w:pos="2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52" w:lineRule="exact"/>
        <w:rPr>
          <w:sz w:val="24"/>
          <w:szCs w:val="24"/>
          <w:color w:val="auto"/>
        </w:rPr>
      </w:pPr>
    </w:p>
    <w:p>
      <w:pPr>
        <w:spacing w:after="0"/>
        <w:tabs>
          <w:tab w:leader="none" w:pos="740" w:val="left"/>
          <w:tab w:leader="none" w:pos="1320" w:val="left"/>
          <w:tab w:leader="none" w:pos="2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5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w:t>
      </w:r>
    </w:p>
    <w:p>
      <w:pPr>
        <w:spacing w:after="0"/>
        <w:rPr>
          <w:sz w:val="20"/>
          <w:szCs w:val="20"/>
          <w:color w:val="auto"/>
        </w:rPr>
      </w:pPr>
      <w:r>
        <w:rPr>
          <w:rFonts w:ascii="Times New Roman" w:cs="Times New Roman" w:eastAsia="Times New Roman" w:hAnsi="Times New Roman"/>
          <w:sz w:val="18"/>
          <w:szCs w:val="18"/>
          <w:color w:val="auto"/>
        </w:rPr>
        <w:t>to Rule 12g3-2(b) under the Securities Exchange Act of 1934.</w:t>
      </w:r>
    </w:p>
    <w:p>
      <w:pPr>
        <w:spacing w:after="0" w:line="234" w:lineRule="exact"/>
        <w:rPr>
          <w:sz w:val="24"/>
          <w:szCs w:val="24"/>
          <w:color w:val="auto"/>
        </w:rPr>
      </w:pPr>
    </w:p>
    <w:p>
      <w:pPr>
        <w:spacing w:after="0"/>
        <w:tabs>
          <w:tab w:leader="none" w:pos="740" w:val="left"/>
          <w:tab w:leader="none" w:pos="1320" w:val="left"/>
          <w:tab w:leader="none" w:pos="2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this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1035685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5"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 Information Contained in this Form 6-K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I is a press release of Capital Product Partners L.P., dated April 30, 2010.</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into the registrant's registration statement, registration number 333-153274, dated October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1433195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603" w:right="5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Capital Product Partners, L.P., its general partner</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7" w:lineRule="exact"/>
        <w:rPr>
          <w:sz w:val="20"/>
          <w:szCs w:val="20"/>
          <w:color w:val="auto"/>
        </w:rPr>
      </w:pPr>
    </w:p>
    <w:p>
      <w:pPr>
        <w:ind w:left="596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tab/>
        <w:t>Chief Executive Officer and Chief Financial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of Capital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1164590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4"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CAPITAL PRODUCT PARTNERS L.P. ANNOUNCES FIRST QUARTER 2010 FINANCIAL RESULTS</w:t>
      </w:r>
    </w:p>
    <w:p>
      <w:pPr>
        <w:spacing w:after="0" w:line="351"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ATHENS, Greece, April 30, 2010 -- Capital Product Partners L.P. (the "Partnership"), (Nasdaq: CPLP), an international owner of modern double-hull tankers, today released its financial results for the first quarter ended March 31, 2010.</w:t>
      </w:r>
    </w:p>
    <w:p>
      <w:pPr>
        <w:spacing w:after="0" w:line="162" w:lineRule="exact"/>
        <w:rPr>
          <w:sz w:val="20"/>
          <w:szCs w:val="20"/>
          <w:color w:val="auto"/>
        </w:rPr>
      </w:pPr>
    </w:p>
    <w:p>
      <w:pPr>
        <w:ind w:right="140"/>
        <w:spacing w:after="0" w:line="308" w:lineRule="auto"/>
        <w:rPr>
          <w:sz w:val="20"/>
          <w:szCs w:val="20"/>
          <w:color w:val="auto"/>
        </w:rPr>
      </w:pPr>
      <w:r>
        <w:rPr>
          <w:rFonts w:ascii="Times New Roman" w:cs="Times New Roman" w:eastAsia="Times New Roman" w:hAnsi="Times New Roman"/>
          <w:sz w:val="18"/>
          <w:szCs w:val="18"/>
          <w:color w:val="auto"/>
        </w:rPr>
        <w:t>The Partnership's net income for the quarter ended March 31, 2010 was $6.8 million, or $0.25 per limited partnership unit, which is $0.04 higher than the $0.21 per unit from the previous quarter ended December 31, 2009, and $0.10 lower than the $0.35 per unit from the first quarter of 2009. The reported results of operations and cash flows presented below reflect the consolidation of the M/T Atrotos, which was acquired on March 1, 2010, for the full quarter, as the transaction was between two entities under common control.</w:t>
      </w:r>
    </w:p>
    <w:p>
      <w:pPr>
        <w:spacing w:after="0" w:line="207" w:lineRule="exact"/>
        <w:rPr>
          <w:sz w:val="20"/>
          <w:szCs w:val="20"/>
          <w:color w:val="auto"/>
        </w:rPr>
      </w:pPr>
    </w:p>
    <w:p>
      <w:pPr>
        <w:ind w:right="280"/>
        <w:spacing w:after="0" w:line="308" w:lineRule="auto"/>
        <w:rPr>
          <w:sz w:val="20"/>
          <w:szCs w:val="20"/>
          <w:color w:val="auto"/>
        </w:rPr>
      </w:pPr>
      <w:r>
        <w:rPr>
          <w:rFonts w:ascii="Times New Roman" w:cs="Times New Roman" w:eastAsia="Times New Roman" w:hAnsi="Times New Roman"/>
          <w:sz w:val="18"/>
          <w:szCs w:val="18"/>
          <w:color w:val="auto"/>
        </w:rPr>
        <w:t>Operating surplus for the quarter ended March 31, 2010 was $11.7 million, $1.5 million higher than the $10.2 million from the fourth quarter of 2009 and $0.2 million lower than the $11.9 million from the first quarter of 2009. Operating surplus is a non-GAAP financial measure used by certain investors to measure the financial performance of the Partnership and other master limited partnerships. (Please see Appendix A for a reconciliation of this non-GAAP measure to net income.)</w:t>
      </w:r>
    </w:p>
    <w:p>
      <w:pPr>
        <w:spacing w:after="0" w:line="207"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Revenues for the first quarter of 2010 were $31.1 million, compared to $32.3 million in the first quarter of 2009. The lower revenues generated reflect the lower charter rates at which we have re-chartered two of the Partnership’s vessels whose original charters expired during the quarter and lower profit sharing revenues. The Partnership earned $0.4 million in profit share revenues on the back of a buoyant Suezmax market in January 2010 and from the ice trading of one of the medium range (MR) tankers chartered to Capital Maritime &amp; Trading Corp., our Sponsor (“Capital Maritime”), compared to $0.7 million earned in the first quarter of 2009.</w:t>
      </w:r>
    </w:p>
    <w:p>
      <w:pPr>
        <w:spacing w:after="0" w:line="21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Total operating expenses for the first quarter of 2010 were $15.8 million, including $7.0 million in fees for the commercial and technical management of the fleet paid to a subsidiary of Capital Maritime, $7.4 million in depreciation and $0.6 million in general and administrative expenses, compared to $15.5 million total operating expenses for the first quarter of 2009.</w:t>
      </w:r>
    </w:p>
    <w:p>
      <w:pPr>
        <w:spacing w:after="0" w:line="203"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Net interest expense and finance cost for the quarter amounted to $7.9 million compared to $7.3 million for the first quarter of 2009. The increase in net interest expense and finance cost is primarily due to the higher interest margin applicable to our loan facilities since June 30, 2009 and to lower cash deposit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60"/>
        <w:spacing w:after="0" w:line="313" w:lineRule="auto"/>
        <w:rPr>
          <w:sz w:val="20"/>
          <w:szCs w:val="20"/>
          <w:color w:val="auto"/>
        </w:rPr>
      </w:pPr>
      <w:r>
        <w:rPr>
          <w:rFonts w:ascii="Times New Roman" w:cs="Times New Roman" w:eastAsia="Times New Roman" w:hAnsi="Times New Roman"/>
          <w:sz w:val="18"/>
          <w:szCs w:val="18"/>
          <w:color w:val="auto"/>
        </w:rPr>
        <w:t>As of March 31, 2010 the Partnership's long-term debt remained unchanged compared to December 31, 2009 at $474.0 million and partners' capital increased to $195.6 million following the issuance of 5,800,000 additional common units in February 2010 described further below. Current undrawn debt facilities amount to $246.0 million subject to compliance with the terms of our loan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Commentary</w:t>
      </w:r>
    </w:p>
    <w:p>
      <w:pPr>
        <w:spacing w:after="0" w:line="283"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8"/>
          <w:szCs w:val="18"/>
          <w:color w:val="auto"/>
        </w:rPr>
        <w:t>Overall, average product tanker spot earnings improved considerably over the first quarter of 2010 to levels last seen in the first quarter of 2009. This was due to the boost to refinery margins and to the demand for product tankers in the western hemisphere from a prolonged cold spell as well as an improved oil demand on the back of an improving global economy. The period charter market also saw a slight improvement both in terms of charter rates and volume of fixtures, as charterers started showing signs of higher confidence in the market based on the improved spot rates.</w:t>
      </w:r>
    </w:p>
    <w:p>
      <w:pPr>
        <w:spacing w:after="0" w:line="288"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Suezmax market experienced a strong start to the year with earnings improving considerably, compared to the year end 2009, as strong demand both in the Atlantic Basin and to the Far East drove rates upwards.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Developments</w:t>
      </w:r>
    </w:p>
    <w:p>
      <w:pPr>
        <w:spacing w:after="0" w:line="283"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On March 1, 2010 the Partnership acquired the M/T Atrotos (renamed M/T El Pipila) (2007 Hyundai Mipo 47,000 dwt ICE Class 1A) from Capital Maritime at a purchase price of $43 million. The M/T Atrotos is the Partnership’s sixteenth modern MR tanker, bringing the size of its fleet to 19 vessels and is chartered to Petróleos Mexicanos (PEMEX), the state-owned Mexican petroleum company, through Arrendadora Ocean Mexicana, S.A. de C.V., under a charter expected to expire in March 2014. The net base rate under the charter is $19,900 per day, which includes a payment to Capital Maritime for technical management fees. The vessel's total operating expenses are fixed until the expiration of the charter at a daily rate of $3,575.</w:t>
      </w:r>
    </w:p>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M/T Avax (2007 Hyundai Mipo 47,000 dwt ICE Class 1A) has been re-chartered with BP Shipping Ltd. for 11-13 months at a net daily rate of $12,500 including a 50/50 profit sharing arrangement for breaking IWL commencing on May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The net daily charter rate of the M/T Avax under its existing charter is $20,500.</w:t>
      </w:r>
    </w:p>
    <w:p>
      <w:pPr>
        <w:spacing w:after="0" w:line="23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The M/T Aristofanis (2005 Baima Shipyard 12,000 dwt), whose charter with Shell International Trading &amp; Shipping Company Ltd. expired towards the end of the first quarter of 2010, is expected to be employed in the spot market following the completion of its scheduled special survey and upgrade to IMO III type chemical tanker. Her sister vessel, the M/T Attikos, has also been trading in the spot market since mid January 2010 following completion of its special survey and upgrade to IMO III type chemical tanker.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rechartering of the M/T Avax, 77% of the fleet total days for the remainder of 2010, and 45% of the fleet total days in 2011 will be secured under period charter coverage.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Offering of 6,281,578 Common Units</w:t>
      </w:r>
    </w:p>
    <w:p>
      <w:pPr>
        <w:spacing w:after="0" w:line="28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On February 23, 2010 the Partnership announced the issuance of 5,800,000 common units at a public offering price of $8.85 per common unit. An additional 481,578 common units were subsequently sold on the same terms following the partial exercise of the over-allotment option granted to the underwriters. Capital GP LLC, the Partnership’s general partner, participated in both the offering and the exercise of the over-allotment option and purchased an additional 128,195 units at the public offering price, thereby maintaining its 2 percent interest in the Partnership.</w:t>
      </w:r>
    </w:p>
    <w:p>
      <w:pPr>
        <w:spacing w:after="0" w:line="207"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auto"/>
        </w:rPr>
        <w:t>Aggregate proceeds to the Partnership, before expenses relating to the offering, were approximately $54.1 million. The net proceeds from the offering were used to acquire the M/T Atrotos (renamed M/T El Pipila) at an acquisition price of $43 million and for general partnership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Mr. Ioannis Lazaridis, Chief Executive and Chief Financial Officer Partnership’s general partner commented: "During the first quarter of 2010, we have observed an improvement in the product tanker market from its multi year lows. The product tanker industry has seen an overall improvement in the average spot earnings levels, and slightly higher period rates. We continue to closely examine key industry factors in order to assess the market recovery for the remainder of 2010 and 2011. These factors include changes in oil product demand, oil refinery utilization rates, the implementation of the single-hull tanker phase out, the availability of shipping finance, as well as further delays and cancellations that could reduce the number of new tanker vessel deliveries.”</w:t>
      </w:r>
    </w:p>
    <w:p>
      <w:pPr>
        <w:spacing w:after="0" w:line="21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Mr. Lazaridis continued: “We are pleased that the rechartering of the M/T Avax with BP Shipping Ltd. has further increased the Partnership’s charter coverage for 2010 and 2011 and further developed our relationship with one of the largest oil majors and product tankers charterers. Lastly, the acquisition of the M/T Atrotos, through a successful secondary offering, demonstrates our commitment towards our long-term business strategy of growth through accretive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Quarterly Cash Distribution</w:t>
      </w:r>
    </w:p>
    <w:p>
      <w:pPr>
        <w:spacing w:after="0" w:line="2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On April 23, 2010, the Board of Directors of the Partnership declared a cash distribution of $0.225 per unit for the first quarter of 2010, in line with management’s annual guidance as stated in the fourth quarter 2009 earnings press release. The first quarter 2010 distribution will be paid on May 14, 2010 to unit holders of record on May 6, 2010.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Friday, April 30, 2010 and at 10:00 am Eastern Time (U.S.) the Partnership will host an interactive conference call.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details:</w:t>
      </w:r>
    </w:p>
    <w:p>
      <w:pPr>
        <w:spacing w:after="0" w:line="279" w:lineRule="exact"/>
        <w:rPr>
          <w:sz w:val="20"/>
          <w:szCs w:val="20"/>
          <w:color w:val="auto"/>
        </w:rPr>
      </w:pPr>
    </w:p>
    <w:p>
      <w:pPr>
        <w:ind w:right="320"/>
        <w:spacing w:after="0" w:line="329" w:lineRule="auto"/>
        <w:rPr>
          <w:sz w:val="20"/>
          <w:szCs w:val="20"/>
          <w:color w:val="auto"/>
        </w:rPr>
      </w:pPr>
      <w:r>
        <w:rPr>
          <w:rFonts w:ascii="Times New Roman" w:cs="Times New Roman" w:eastAsia="Times New Roman" w:hAnsi="Times New Roman"/>
          <w:sz w:val="18"/>
          <w:szCs w:val="18"/>
          <w:color w:val="auto"/>
        </w:rPr>
        <w:t>Participants should dial into the call 10 minutes before the scheduled time using the following numbers: 1(866) 819-7111 (from the US), 0(800) 953-0329 (from the UK) or +(44) (0) 1452 542 301 (from outside the US). Please quote “Capital Product Partners.”</w:t>
      </w:r>
    </w:p>
    <w:p>
      <w:pPr>
        <w:spacing w:after="0" w:line="189" w:lineRule="exact"/>
        <w:rPr>
          <w:sz w:val="20"/>
          <w:szCs w:val="20"/>
          <w:color w:val="auto"/>
        </w:rPr>
      </w:pPr>
    </w:p>
    <w:p>
      <w:pPr>
        <w:ind w:right="320"/>
        <w:spacing w:after="0" w:line="329" w:lineRule="auto"/>
        <w:rPr>
          <w:sz w:val="20"/>
          <w:szCs w:val="20"/>
          <w:color w:val="auto"/>
        </w:rPr>
      </w:pPr>
      <w:r>
        <w:rPr>
          <w:rFonts w:ascii="Times New Roman" w:cs="Times New Roman" w:eastAsia="Times New Roman" w:hAnsi="Times New Roman"/>
          <w:sz w:val="18"/>
          <w:szCs w:val="18"/>
          <w:color w:val="auto"/>
        </w:rPr>
        <w:t>A replay of the conference call will be available until May 7, 2010. The United States replay number is 1(866) 247-4222; the UK replay number is 0(800) 953-1533; the standard international replay number is (+44) (0) 1452 550 000 and the access code required for the replay is: 69648481#.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Slides and audio webcast:</w:t>
      </w:r>
    </w:p>
    <w:p>
      <w:pPr>
        <w:spacing w:after="0" w:line="27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slide presentation accompanying the conference call will be available on the Partnership's website at www.capitalpplp.com. An audio webcast of the call will also be accessible on the website. The relevant links will be found in the Investor Relations section of the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The statements in this press release that are not historical facts, including our expectations regarding developments in the markets, their effects and the factors which may contribute to a market recovery, our expectations regarding the employment of our vessels, our expected charter coverage ratios for 2010 and 2011 and expectations regarding our quarterly distribution may be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Unless required by law, we expressly disclaim any obligation to update or revise any of these forward-looking statements, whether because of future events, new information, a change in our views or expectations, to conform them to actual results or otherwise. We assume no responsibility for the accuracy and completeness of the forward-looking statements. We make no prediction or statement about the performance of our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Capital Product Partners L.P.</w:t>
      </w:r>
    </w:p>
    <w:p>
      <w:pPr>
        <w:spacing w:after="0" w:line="28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Capital Product Partners L.P. (Nasdaq:CPLP), a Marshall Islands master limited partnership, is an international owner of modern double-hull tankers. The Partnership owns 19 vessels, including 16 modern MR tankers, two small product tankers and one suezmax crude oil tanker. Most of its 19 vessels are under medium- to long-term charters to BP Shipping Limited, Morgan Stanley Capital Group Inc., Overseas Shipholding Group and Capital Maritime &amp; Trading Corp.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Partnership, please visit our website: </w:t>
      </w:r>
      <w:r>
        <w:rPr>
          <w:rFonts w:ascii="Times New Roman" w:cs="Times New Roman" w:eastAsia="Times New Roman" w:hAnsi="Times New Roman"/>
          <w:sz w:val="18"/>
          <w:szCs w:val="18"/>
          <w:u w:val="single" w:color="auto"/>
          <w:color w:val="auto"/>
        </w:rPr>
        <w:t>www.capitalpplp.com</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Contact Details:</w:t>
            </w: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GP L.L.C.</w:t>
            </w:r>
          </w:p>
        </w:tc>
        <w:tc>
          <w:tcPr>
            <w:tcW w:w="7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Investor Relations / Media</w:t>
            </w:r>
          </w:p>
        </w:tc>
      </w:tr>
      <w:tr>
        <w:trPr>
          <w:trHeight w:val="432"/>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Ioannis Lazaridis, CEO and CFO</w:t>
            </w:r>
          </w:p>
        </w:tc>
        <w:tc>
          <w:tcPr>
            <w:tcW w:w="7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Nicolas Bornozis, President</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(210) 4584 950</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Capital Link, Inc. (New York)</w:t>
            </w:r>
          </w:p>
        </w:tc>
      </w:tr>
      <w:tr>
        <w:trPr>
          <w:trHeight w:val="392"/>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 i.lazaridis@capitalpplp.com</w:t>
            </w:r>
          </w:p>
        </w:tc>
        <w:tc>
          <w:tcPr>
            <w:tcW w:w="7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Tel. +1-212-661-7566</w:t>
            </w:r>
          </w:p>
        </w:tc>
      </w:tr>
      <w:tr>
        <w:trPr>
          <w:trHeight w:val="439"/>
        </w:trPr>
        <w:tc>
          <w:tcPr>
            <w:tcW w:w="6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E-mail: cplp@capitallink.com</w:t>
            </w:r>
          </w:p>
        </w:tc>
      </w:tr>
      <w:tr>
        <w:trPr>
          <w:trHeight w:val="453"/>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Maritime &amp; Trading Corp.</w:t>
            </w:r>
          </w:p>
        </w:tc>
        <w:tc>
          <w:tcPr>
            <w:tcW w:w="14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Jerry Kalogiratos</w:t>
            </w: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(210) 4584 950</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92"/>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j.kalogiratos@capitalpplp.com</w:t>
            </w: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111"/>
        </w:trPr>
        <w:tc>
          <w:tcPr>
            <w:tcW w:w="640" w:type="dxa"/>
            <w:vAlign w:val="bottom"/>
            <w:tcBorders>
              <w:top w:val="single" w:sz="8" w:color="auto"/>
              <w:bottom w:val="single" w:sz="8" w:color="808080"/>
            </w:tcBorders>
          </w:tcPr>
          <w:p>
            <w:pPr>
              <w:spacing w:after="0"/>
              <w:rPr>
                <w:sz w:val="24"/>
                <w:szCs w:val="24"/>
                <w:color w:val="auto"/>
              </w:rPr>
            </w:pPr>
          </w:p>
        </w:tc>
        <w:tc>
          <w:tcPr>
            <w:tcW w:w="1580" w:type="dxa"/>
            <w:vAlign w:val="bottom"/>
            <w:tcBorders>
              <w:top w:val="single" w:sz="8" w:color="auto"/>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and Combined Statements of Income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number of units and earnings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period ended March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49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 – related party</w:t>
            </w: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31,129</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party</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7,363</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15,305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(loss)/gain, net</w:t>
            </w:r>
          </w:p>
        </w:tc>
        <w:tc>
          <w:tcPr>
            <w:tcW w:w="1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(7,872)</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7,433</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CMTC operations</w:t>
            </w:r>
          </w:p>
        </w:tc>
        <w:tc>
          <w:tcPr>
            <w:tcW w:w="1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658</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Partnership’s net income</w:t>
            </w: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6,775</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Partner’s interest in Partnership’s 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 interest in Partnership’s net income</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Common units (basic and diluted)</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Subordinated units (basic and diluted)</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Total units (basic and diluted)</w:t>
            </w: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Common units (basic and diluted)</w:t>
            </w:r>
          </w:p>
        </w:tc>
        <w:tc>
          <w:tcPr>
            <w:tcW w:w="1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27,088,525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20,512,229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Subordinated units (basic and diluted)</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4,304,922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Total units (basic and diluted)</w:t>
            </w:r>
          </w:p>
        </w:tc>
        <w:tc>
          <w:tcPr>
            <w:tcW w:w="11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27,088,525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24,817,151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2"/>
        </w:trPr>
        <w:tc>
          <w:tcPr>
            <w:tcW w:w="17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and Combined Balance Sheets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6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31, 2009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43,294</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46,559</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net</w:t>
            </w:r>
          </w:p>
        </w:tc>
        <w:tc>
          <w:tcPr>
            <w:tcW w:w="2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665,078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665,078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672,441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2,878</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672,456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680,036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719,015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718,027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related party long-term debt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2,066</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8,797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474,000</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related party debt</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514,659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536,143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523,456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549,712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195,559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157,128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Capital</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719,015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718,027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1"/>
        </w:trPr>
        <w:tc>
          <w:tcPr>
            <w:tcW w:w="5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and Combined Statements of Cash Flows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three month</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2010</w:t>
            </w:r>
          </w:p>
        </w:tc>
        <w:tc>
          <w:tcPr>
            <w:tcW w:w="3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charges</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10,957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Vessel acquisitions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Maturity of short term investments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29,025</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(46,383)</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Partnership units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54,075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issuance of Partnership units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related party debt/financing</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Loan issuance costs</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Excess of purchase price over book value of vessels acquired from entity under common</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33,195</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3,552</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offering expenses</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offering expenses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deferred offering expenses</w:t>
            </w:r>
          </w:p>
        </w:tc>
        <w:tc>
          <w:tcPr>
            <w:tcW w:w="5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liabilities assumed by CMTC upon vessel contribution to the Partnership</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1"/>
        </w:trPr>
        <w:tc>
          <w:tcPr>
            <w:tcW w:w="116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56" w:lineRule="exact"/>
        <w:rPr>
          <w:sz w:val="20"/>
          <w:szCs w:val="20"/>
          <w:color w:val="auto"/>
        </w:rPr>
      </w:pPr>
    </w:p>
    <w:p>
      <w:pPr>
        <w:ind w:right="60" w:firstLine="8"/>
        <w:spacing w:after="0" w:line="266" w:lineRule="auto"/>
        <w:tabs>
          <w:tab w:leader="none" w:pos="2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and combined statements of income and cash flows for the three month period ended March 31, 2010 include the results of operations of M/T Atrotos which was acquired from Capital Maritime, an entity under common control, on March 1, 2010 as though the transfer had occurred at the beginning of the year (January 1, 2010)</w:t>
      </w: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and combined statements of income and cash flows for the three month period ended March 31, 2009 include the results of operations of M/T Agamemnon II and M/T Ayrton II which were acquired from Capital Maritime, an entity under common control, on April 7 and April 13, 2009 respectively, as though the transfers had occurred at the beginning of the earliest period presented (January 1, 2009).</w:t>
      </w:r>
    </w:p>
    <w:p>
      <w:pPr>
        <w:spacing w:after="0" w:line="203"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 term investments consist of cash time deposits with original maturities of more than three months with de minimis breakage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0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A – Reconciliation of Non-GAAP Financial Measure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Non-GAAP Financial Measure – Operating Surplus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Surplus represents net income adjusted for non cash items such as depreciation and amortization expense, unearned revenue and unrealized gain and losses. Replacement capital expenditures represent those capital expenditures required to maintain over the long term the operating capacity of, or the revenue generated by, the Partnership's capital assets. Operating Surplus is a quantitative standard used in the publicly-traded partnership investment community to assist in evaluating a partnership's ability to make quarterly cash distributions. Operating Surplus is not required by accounting principles generally accepted in the United States and should not be considered as an alternative to net income or any other indicator of the Partnership's performance required by accounting principles generally accepted in the United States. The tables below reconcile Operating Surplus to net income for the three month period ended March 31, 2010.</w:t>
      </w:r>
    </w:p>
    <w:p>
      <w:pPr>
        <w:spacing w:after="0" w:line="200" w:lineRule="exact"/>
        <w:rPr>
          <w:sz w:val="20"/>
          <w:szCs w:val="20"/>
          <w:color w:val="auto"/>
        </w:rPr>
      </w:pP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three-month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 –</w:t>
            </w:r>
          </w:p>
        </w:tc>
        <w:tc>
          <w:tcPr>
            <w:tcW w:w="1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Surplus</w:t>
            </w:r>
          </w:p>
        </w:tc>
        <w:tc>
          <w:tcPr>
            <w:tcW w:w="1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Atrotos net income for the period from January 1, 2010 to February 28, 2010</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M/T Atrotos depreciation for the period from January 1, 2010 to February 28, 2010</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Capital Expenditures</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SURPLUS</w:t>
            </w:r>
          </w:p>
        </w:tc>
        <w:tc>
          <w:tcPr>
            <w:tcW w:w="1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Recommended reserves</w:t>
            </w: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CASH</w:t>
            </w:r>
          </w:p>
        </w:tc>
        <w:tc>
          <w:tcPr>
            <w:tcW w:w="1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240" w:top="60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2019-12-15T14:56:15Z</dcterms:created>
  <dcterms:modified xsi:type="dcterms:W3CDTF">2019-12-15T14:56:15Z</dcterms:modified>
</cp:coreProperties>
</file>